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4BBC6" w14:textId="2FA81328" w:rsidR="006A7D86" w:rsidRDefault="00CD0DC0" w:rsidP="00867CC7">
      <w:pPr>
        <w:spacing w:after="0"/>
        <w:jc w:val="center"/>
        <w:rPr>
          <w:b/>
          <w:bCs/>
        </w:rPr>
      </w:pPr>
      <w:r w:rsidRPr="005C120D">
        <w:rPr>
          <w:b/>
          <w:bCs/>
        </w:rPr>
        <w:t xml:space="preserve">ANÁLISIS </w:t>
      </w:r>
      <w:r w:rsidR="00867484">
        <w:rPr>
          <w:b/>
          <w:bCs/>
        </w:rPr>
        <w:t>DE SOSTENIBILIDAD</w:t>
      </w:r>
    </w:p>
    <w:p w14:paraId="6E398015" w14:textId="77777777" w:rsidR="006D67F8" w:rsidRDefault="006D67F8" w:rsidP="00867CC7">
      <w:pPr>
        <w:spacing w:after="0"/>
        <w:jc w:val="center"/>
        <w:rPr>
          <w:b/>
          <w:bCs/>
        </w:rPr>
      </w:pPr>
    </w:p>
    <w:p w14:paraId="62E94981" w14:textId="007B9FF8" w:rsidR="00867CC7" w:rsidRPr="00867CC7" w:rsidRDefault="00867CC7" w:rsidP="00867CC7">
      <w:pPr>
        <w:spacing w:after="0"/>
        <w:jc w:val="center"/>
        <w:rPr>
          <w:i/>
          <w:iCs/>
          <w:color w:val="BFBFBF" w:themeColor="background1" w:themeShade="BF"/>
        </w:rPr>
      </w:pPr>
      <w:r w:rsidRPr="00867CC7">
        <w:rPr>
          <w:i/>
          <w:iCs/>
          <w:color w:val="BFBFBF" w:themeColor="background1" w:themeShade="BF"/>
        </w:rPr>
        <w:t>(Guía especialmente diseñada para la alternativa solar</w:t>
      </w:r>
      <w:r w:rsidR="00E93A42">
        <w:rPr>
          <w:i/>
          <w:iCs/>
          <w:color w:val="BFBFBF" w:themeColor="background1" w:themeShade="BF"/>
        </w:rPr>
        <w:t xml:space="preserve">. En la hoja “SOSTENIBILIDAD” </w:t>
      </w:r>
      <w:r w:rsidR="00E93A42" w:rsidRPr="00B53195">
        <w:rPr>
          <w:i/>
          <w:iCs/>
          <w:color w:val="BFBFBF" w:themeColor="background1" w:themeShade="BF"/>
        </w:rPr>
        <w:t>del documento “</w:t>
      </w:r>
      <w:proofErr w:type="spellStart"/>
      <w:r w:rsidR="00E93A42" w:rsidRPr="00B53195">
        <w:rPr>
          <w:i/>
          <w:iCs/>
          <w:color w:val="BFBFBF" w:themeColor="background1" w:themeShade="BF"/>
        </w:rPr>
        <w:t>Formato_Evaluación</w:t>
      </w:r>
      <w:proofErr w:type="spellEnd"/>
      <w:r w:rsidR="00E93A42" w:rsidRPr="00B53195">
        <w:rPr>
          <w:i/>
          <w:iCs/>
          <w:color w:val="BFBFBF" w:themeColor="background1" w:themeShade="BF"/>
        </w:rPr>
        <w:t xml:space="preserve"> Técnico-</w:t>
      </w:r>
      <w:proofErr w:type="spellStart"/>
      <w:r w:rsidR="00E93A42" w:rsidRPr="00B53195">
        <w:rPr>
          <w:i/>
          <w:iCs/>
          <w:color w:val="BFBFBF" w:themeColor="background1" w:themeShade="BF"/>
        </w:rPr>
        <w:t>Económica_RETILAP</w:t>
      </w:r>
      <w:proofErr w:type="spellEnd"/>
      <w:r w:rsidR="00E93A42" w:rsidRPr="00B53195">
        <w:rPr>
          <w:i/>
          <w:iCs/>
          <w:color w:val="BFBFBF" w:themeColor="background1" w:themeShade="BF"/>
        </w:rPr>
        <w:t xml:space="preserve"> 2024.xlsx”</w:t>
      </w:r>
      <w:r w:rsidR="00E93A42">
        <w:rPr>
          <w:i/>
          <w:iCs/>
          <w:color w:val="BFBFBF" w:themeColor="background1" w:themeShade="BF"/>
        </w:rPr>
        <w:t xml:space="preserve"> se hacen </w:t>
      </w:r>
      <w:r w:rsidR="006F294C">
        <w:rPr>
          <w:i/>
          <w:iCs/>
          <w:color w:val="BFBFBF" w:themeColor="background1" w:themeShade="BF"/>
        </w:rPr>
        <w:t>los cálculos</w:t>
      </w:r>
      <w:r w:rsidR="00E93A42">
        <w:rPr>
          <w:i/>
          <w:iCs/>
          <w:color w:val="BFBFBF" w:themeColor="background1" w:themeShade="BF"/>
        </w:rPr>
        <w:t xml:space="preserve"> asumiendo que la alternativa 1 fue la alternativa ganadora en el análisis de </w:t>
      </w:r>
      <w:r w:rsidR="006D6C00">
        <w:rPr>
          <w:i/>
          <w:iCs/>
          <w:color w:val="BFBFBF" w:themeColor="background1" w:themeShade="BF"/>
        </w:rPr>
        <w:t>alternativas</w:t>
      </w:r>
      <w:r w:rsidRPr="00867CC7">
        <w:rPr>
          <w:i/>
          <w:iCs/>
          <w:color w:val="BFBFBF" w:themeColor="background1" w:themeShade="BF"/>
        </w:rPr>
        <w:t xml:space="preserve">) </w:t>
      </w:r>
    </w:p>
    <w:p w14:paraId="606F4C32" w14:textId="77777777" w:rsidR="00857AC1" w:rsidRDefault="00857AC1" w:rsidP="00EE123C">
      <w:pPr>
        <w:jc w:val="both"/>
      </w:pPr>
      <w:r>
        <w:t>Con base en</w:t>
      </w:r>
      <w:r w:rsidRPr="00857AC1">
        <w:t xml:space="preserve"> los estudios financieros desarrollados en la evaluación técnico – económica incluida en los diseños</w:t>
      </w:r>
      <w:r>
        <w:t xml:space="preserve"> y desarrollo del análisis de alternativa,</w:t>
      </w:r>
      <w:r w:rsidRPr="00857AC1">
        <w:t xml:space="preserve"> se </w:t>
      </w:r>
      <w:r>
        <w:t>desarrolla el análisis de</w:t>
      </w:r>
      <w:r w:rsidRPr="00857AC1">
        <w:t xml:space="preserve"> la sostenibilidad financiera a lo largo de </w:t>
      </w:r>
      <w:r>
        <w:t>la</w:t>
      </w:r>
      <w:r w:rsidRPr="00857AC1">
        <w:t xml:space="preserve"> vida útil</w:t>
      </w:r>
      <w:r>
        <w:t xml:space="preserve"> del sistema de alumbrado público planteado</w:t>
      </w:r>
      <w:r w:rsidRPr="00857AC1">
        <w:t xml:space="preserve">, con el propósito de establecer un esquema económico viable basado en los ingresos y egresos que harán </w:t>
      </w:r>
      <w:r>
        <w:t xml:space="preserve">parte del </w:t>
      </w:r>
      <w:r w:rsidR="00CD0DC0">
        <w:t xml:space="preserve">proyecto </w:t>
      </w:r>
      <w:r w:rsidR="00CD0DC0" w:rsidRPr="00CD0DC0">
        <w:rPr>
          <w:highlight w:val="yellow"/>
        </w:rPr>
        <w:t>XXXXXXXXX</w:t>
      </w:r>
      <w:r w:rsidR="00CD0DC0">
        <w:t xml:space="preserve"> localizado en la zona </w:t>
      </w:r>
      <w:r w:rsidR="00CD0DC0" w:rsidRPr="00CD0DC0">
        <w:rPr>
          <w:highlight w:val="yellow"/>
        </w:rPr>
        <w:t>XXXX</w:t>
      </w:r>
      <w:r w:rsidR="00CD0DC0">
        <w:t xml:space="preserve"> del municipio </w:t>
      </w:r>
      <w:r w:rsidR="00CD0DC0" w:rsidRPr="00CD0DC0">
        <w:rPr>
          <w:highlight w:val="yellow"/>
        </w:rPr>
        <w:t>XXXX</w:t>
      </w:r>
      <w:r w:rsidR="00CD0DC0">
        <w:t xml:space="preserve"> del departamento de </w:t>
      </w:r>
      <w:r w:rsidR="00CD0DC0" w:rsidRPr="00CD0DC0">
        <w:rPr>
          <w:highlight w:val="yellow"/>
        </w:rPr>
        <w:t>XXXXXXXX</w:t>
      </w:r>
      <w:r w:rsidR="00A54585">
        <w:t xml:space="preserve"> con código </w:t>
      </w:r>
      <w:r w:rsidR="008D1291">
        <w:t xml:space="preserve">BPIN </w:t>
      </w:r>
      <w:r w:rsidR="008D1291" w:rsidRPr="008D1291">
        <w:rPr>
          <w:highlight w:val="yellow"/>
        </w:rPr>
        <w:t>XXXXXXX</w:t>
      </w:r>
      <w:r>
        <w:t xml:space="preserve">. </w:t>
      </w:r>
    </w:p>
    <w:p w14:paraId="11F06323" w14:textId="72F708C5" w:rsidR="00857AC1" w:rsidRDefault="00857AC1" w:rsidP="00EE123C">
      <w:pPr>
        <w:jc w:val="both"/>
      </w:pPr>
      <w:r>
        <w:t xml:space="preserve">Se reitera lo indicado en el análisis de las alternativas frente </w:t>
      </w:r>
      <w:r w:rsidR="00D44E4D">
        <w:t xml:space="preserve">a que </w:t>
      </w:r>
      <w:r>
        <w:t xml:space="preserve">de conformidad con lo establecido en la </w:t>
      </w:r>
      <w:r w:rsidRPr="000763CE">
        <w:t>CONCEPTO CREG 5059 DE 2024</w:t>
      </w:r>
      <w:r>
        <w:t xml:space="preserve">, se indica que </w:t>
      </w:r>
      <w:r w:rsidRPr="000763CE">
        <w:t>la metodología establecida en la Resolución CREG 101 013 de 2022 es una guía para que los municipios calculen sus costos de prestación del servicio</w:t>
      </w:r>
      <w:r>
        <w:t xml:space="preserve"> y</w:t>
      </w:r>
      <w:r w:rsidRPr="000763CE">
        <w:t xml:space="preserve"> </w:t>
      </w:r>
      <w:r w:rsidRPr="00D61850">
        <w:rPr>
          <w:u w:val="single"/>
        </w:rPr>
        <w:t>será su decisión incluir otros rubros en la contratación</w:t>
      </w:r>
      <w:r>
        <w:t>. Sumado a lo anterior, en el artículo 349 de la ley 1819 de 2016 se indica que “</w:t>
      </w:r>
      <w:r w:rsidRPr="00961131">
        <w:rPr>
          <w:i/>
          <w:iCs/>
        </w:rPr>
        <w:t>Los municipios y distritos podrán, a través de los concejos municipales y distritales, adoptar el impuesto de alumbrado público</w:t>
      </w:r>
      <w:r>
        <w:t>”, además de indicar que “</w:t>
      </w:r>
      <w:r w:rsidRPr="00961131">
        <w:rPr>
          <w:i/>
          <w:iCs/>
        </w:rPr>
        <w:t xml:space="preserve">El hecho generador del impuesto de alumbrado público es el beneficio por la prestación del servicio de alumbrado público. </w:t>
      </w:r>
      <w:r w:rsidRPr="00961131">
        <w:rPr>
          <w:i/>
          <w:iCs/>
          <w:u w:val="single"/>
        </w:rPr>
        <w:t>Los sujetos pasivos, la base gravable y las tarifas serán establecidos por los concejos municipales y distritales</w:t>
      </w:r>
      <w:r>
        <w:t xml:space="preserve">”. Teniendo en cuenta lo anterior, para el presente análisis se toma como guía lo establecido en la CREG 101 013 de 2022, </w:t>
      </w:r>
      <w:r w:rsidRPr="00961131">
        <w:t>sin embargo, lo siguiente es a modo de proyección, toda vez que los valores finales serán dispuestos en el momento de la puesta en servició del proyecto y serán sometidos a aprobación del consejo municipal como lo indica la Ley 1819 de 2016, en su Artículo 349.</w:t>
      </w:r>
    </w:p>
    <w:p w14:paraId="4C5D481C" w14:textId="77777777" w:rsidR="000922B4" w:rsidRDefault="000922B4" w:rsidP="000922B4">
      <w:pPr>
        <w:jc w:val="both"/>
      </w:pPr>
      <w:r>
        <w:t xml:space="preserve">En todo caso, se presenta el aval técnico y financiero con fecha del </w:t>
      </w:r>
      <w:r w:rsidRPr="00A46FC1">
        <w:rPr>
          <w:highlight w:val="yellow"/>
        </w:rPr>
        <w:t>XXX</w:t>
      </w:r>
      <w:r>
        <w:t xml:space="preserve"> del mes de </w:t>
      </w:r>
      <w:r w:rsidRPr="00A46FC1">
        <w:rPr>
          <w:highlight w:val="yellow"/>
        </w:rPr>
        <w:t>XXXXX</w:t>
      </w:r>
      <w:r>
        <w:t xml:space="preserve"> del año </w:t>
      </w:r>
      <w:r w:rsidRPr="00A46FC1">
        <w:rPr>
          <w:highlight w:val="yellow"/>
        </w:rPr>
        <w:t>XXXX</w:t>
      </w:r>
      <w:r>
        <w:t xml:space="preserve"> donde la Entidad Territorial indica la aprobación de los diseños, que </w:t>
      </w:r>
      <w:r w:rsidRPr="00A46EB6">
        <w:t>el proyecto NO requiere financiación, para garantizar la Administración, Operación y Mantenimiento ni para llevar a cabo la reposición de activos</w:t>
      </w:r>
      <w:r>
        <w:t xml:space="preserve"> y se realiza el compromiso de </w:t>
      </w:r>
      <w:r w:rsidRPr="00A46EB6">
        <w:t xml:space="preserve">con sus recursos, </w:t>
      </w:r>
      <w:r>
        <w:t>van a r</w:t>
      </w:r>
      <w:r w:rsidRPr="00A46EB6">
        <w:t xml:space="preserve">ealizar la </w:t>
      </w:r>
      <w:r w:rsidRPr="00A46EB6">
        <w:rPr>
          <w:bCs/>
        </w:rPr>
        <w:t>administración, operación y mantenimiento y la reposición a nuevo de la infraestructura contemplada en el proyecto. Así mismo, se compromete a realizar la prestación del servicio de alumbrado público de acuerdo con la regulación vigente.</w:t>
      </w:r>
    </w:p>
    <w:p w14:paraId="092F7419" w14:textId="2B5D71BC" w:rsidR="00272AA2" w:rsidRDefault="005F05F1" w:rsidP="00905F75">
      <w:pPr>
        <w:jc w:val="both"/>
      </w:pPr>
      <w:r>
        <w:lastRenderedPageBreak/>
        <w:t>Considerando</w:t>
      </w:r>
      <w:r w:rsidR="00D61850">
        <w:t xml:space="preserve"> lo anterior, se calculan los valores</w:t>
      </w:r>
      <w:r w:rsidR="00B10B56">
        <w:t xml:space="preserve"> de</w:t>
      </w:r>
      <w:r w:rsidR="00D61850">
        <w:t xml:space="preserve"> los costos máximos del impuesto de alumbrado público tomando como referencia las </w:t>
      </w:r>
      <w:proofErr w:type="spellStart"/>
      <w:r w:rsidR="00D61850">
        <w:t>UCAPs</w:t>
      </w:r>
      <w:proofErr w:type="spellEnd"/>
      <w:r w:rsidR="00D61850">
        <w:t xml:space="preserve"> </w:t>
      </w:r>
      <w:r w:rsidR="00FD3381">
        <w:t xml:space="preserve">definidas para </w:t>
      </w:r>
      <w:r w:rsidR="00D61850">
        <w:t xml:space="preserve">la alternativa seleccionada como ganadora y </w:t>
      </w:r>
      <w:r w:rsidR="00FD3381">
        <w:t xml:space="preserve">siguiendo </w:t>
      </w:r>
      <w:r w:rsidR="00D61850">
        <w:t>el procedimiento realizado en el análisis de alternativas para los costos de inversión, costos del servicio de energía</w:t>
      </w:r>
      <w:r w:rsidR="005255B1">
        <w:t xml:space="preserve"> </w:t>
      </w:r>
      <w:r w:rsidR="00D61850">
        <w:t xml:space="preserve">y procedimientos para la definición de costos anuales de AOM. </w:t>
      </w:r>
    </w:p>
    <w:p w14:paraId="788BE5AC" w14:textId="2C541D77" w:rsidR="00C151AA" w:rsidRPr="00C151AA" w:rsidRDefault="00424AE5" w:rsidP="00BF64E2">
      <w:pPr>
        <w:jc w:val="both"/>
      </w:pPr>
      <w:r w:rsidRPr="00C151AA">
        <w:rPr>
          <w:b/>
          <w:bCs/>
        </w:rPr>
        <w:t xml:space="preserve">COSTO POR PRESTACIÓN DEL SERVICIO DE ALUMBRADO PÚBLICO – CAP </w:t>
      </w:r>
    </w:p>
    <w:p w14:paraId="3399363E" w14:textId="13662B18" w:rsidR="00C151AA" w:rsidRDefault="00C151AA" w:rsidP="00BF64E2">
      <w:pPr>
        <w:jc w:val="both"/>
      </w:pPr>
      <w:r w:rsidRPr="00C151AA">
        <w:t xml:space="preserve">Con el propósito de garantizar </w:t>
      </w:r>
      <w:r w:rsidR="00905F75">
        <w:t>la prestación y sostenibilidad del proyecto a lo largo de su vida útil</w:t>
      </w:r>
      <w:r w:rsidRPr="00C151AA">
        <w:t>, se requiere incluir al análisis los costos</w:t>
      </w:r>
      <w:r w:rsidR="00905F75">
        <w:t xml:space="preserve"> del impuesto </w:t>
      </w:r>
      <w:r w:rsidRPr="00C151AA">
        <w:t>de Alumbrado Público, para este fin, se hace uso de la formula dada por el Artículo 7 de la Resolución CREG 101 013 DE 2022 que desglosa lo siguiente:</w:t>
      </w:r>
    </w:p>
    <w:p w14:paraId="1B7C26DE" w14:textId="7D0AA05F" w:rsidR="00C151AA" w:rsidRPr="00C151AA" w:rsidRDefault="00C151AA" w:rsidP="00BF64E2">
      <w:pPr>
        <w:jc w:val="both"/>
        <w:rPr>
          <w:rFonts w:eastAsiaTheme="minorEastAsia"/>
        </w:rPr>
      </w:pPr>
      <m:oMathPara>
        <m:oMath>
          <m:r>
            <w:rPr>
              <w:rFonts w:ascii="Cambria Math" w:hAnsi="Cambria Math"/>
            </w:rPr>
            <m:t>CAP=CSEE+CINV+CAOM+COTR</m:t>
          </m:r>
        </m:oMath>
      </m:oMathPara>
    </w:p>
    <w:p w14:paraId="6BA2B443" w14:textId="77777777" w:rsidR="00C151AA" w:rsidRPr="00C151AA" w:rsidRDefault="00C151AA" w:rsidP="00BF64E2">
      <w:pPr>
        <w:jc w:val="both"/>
      </w:pPr>
      <w:r w:rsidRPr="00C151AA">
        <w:t xml:space="preserve">Donde: </w:t>
      </w:r>
    </w:p>
    <w:p w14:paraId="482D23DF" w14:textId="42B34308" w:rsidR="00C151AA" w:rsidRPr="00C151AA" w:rsidRDefault="00C151AA" w:rsidP="00BF64E2">
      <w:pPr>
        <w:ind w:left="708"/>
        <w:jc w:val="both"/>
      </w:pPr>
      <w:r w:rsidRPr="00C151AA">
        <w:rPr>
          <w:i/>
          <w:iCs/>
        </w:rPr>
        <w:t xml:space="preserve">CAP: </w:t>
      </w:r>
      <w:r w:rsidRPr="00C151AA">
        <w:t xml:space="preserve">Costos máximos por la prestación del Servicio de Alumbrado Público en pesos correspondientes a la fecha de referencia. </w:t>
      </w:r>
    </w:p>
    <w:p w14:paraId="742ACE10" w14:textId="721F6E88" w:rsidR="00C151AA" w:rsidRPr="00C151AA" w:rsidRDefault="00C151AA" w:rsidP="00BF64E2">
      <w:pPr>
        <w:ind w:left="708"/>
        <w:jc w:val="both"/>
      </w:pPr>
      <w:r w:rsidRPr="00C151AA">
        <w:rPr>
          <w:i/>
          <w:iCs/>
        </w:rPr>
        <w:t xml:space="preserve">CSEE: </w:t>
      </w:r>
      <w:r w:rsidRPr="00C151AA">
        <w:t xml:space="preserve">Costo del suministro de energía eléctrica para el Sistema de Alumbrado Público en pesos correspondientes a la fecha de referencia. </w:t>
      </w:r>
    </w:p>
    <w:p w14:paraId="396A2369" w14:textId="77355DA7" w:rsidR="00C151AA" w:rsidRPr="00C151AA" w:rsidRDefault="00C151AA" w:rsidP="00BF64E2">
      <w:pPr>
        <w:ind w:left="708"/>
        <w:jc w:val="both"/>
      </w:pPr>
      <w:r w:rsidRPr="00C151AA">
        <w:rPr>
          <w:i/>
          <w:iCs/>
        </w:rPr>
        <w:t xml:space="preserve">CINV: </w:t>
      </w:r>
      <w:r w:rsidRPr="00C151AA">
        <w:t xml:space="preserve">Costo de la Inversión del Sistema de Alumbrado Público en pesos correspondientes a la fecha de referencia. </w:t>
      </w:r>
    </w:p>
    <w:p w14:paraId="40FBC46A" w14:textId="5556D1AB" w:rsidR="00C151AA" w:rsidRPr="00C151AA" w:rsidRDefault="00C151AA" w:rsidP="00BF64E2">
      <w:pPr>
        <w:ind w:left="708"/>
        <w:jc w:val="both"/>
      </w:pPr>
      <w:r w:rsidRPr="00C151AA">
        <w:rPr>
          <w:i/>
          <w:iCs/>
        </w:rPr>
        <w:t xml:space="preserve">CAOM: </w:t>
      </w:r>
      <w:r w:rsidRPr="00C151AA">
        <w:t xml:space="preserve">Costo de la actividad de AOM del Sistema de Alumbrado Público en pesos correspondientes a la fecha de referencia. </w:t>
      </w:r>
    </w:p>
    <w:p w14:paraId="66688B99" w14:textId="400FFA9F" w:rsidR="00DF12D6" w:rsidRDefault="00C151AA" w:rsidP="00154B5D">
      <w:pPr>
        <w:ind w:left="708"/>
        <w:jc w:val="both"/>
      </w:pPr>
      <w:r w:rsidRPr="00C151AA">
        <w:rPr>
          <w:i/>
          <w:iCs/>
        </w:rPr>
        <w:t xml:space="preserve">COTR: </w:t>
      </w:r>
      <w:r w:rsidRPr="00C151AA">
        <w:t>Costos asociados a otros costos de la prestación del servicio y el Sistema de Alumbrado Público, cuando estos se causen, en pesos correspondientes a la fecha de referencia.</w:t>
      </w:r>
    </w:p>
    <w:p w14:paraId="6B918FD5" w14:textId="77777777" w:rsidR="00D74523" w:rsidRPr="00BF64E2" w:rsidRDefault="00D74523" w:rsidP="00D74523">
      <w:pPr>
        <w:ind w:left="1440"/>
        <w:jc w:val="both"/>
        <w:rPr>
          <w:u w:val="single"/>
        </w:rPr>
      </w:pPr>
      <w:r w:rsidRPr="00BF64E2">
        <w:rPr>
          <w:b/>
          <w:bCs/>
          <w:u w:val="single"/>
        </w:rPr>
        <w:t xml:space="preserve">IPP = Índice De Precios Del Productor </w:t>
      </w:r>
    </w:p>
    <w:p w14:paraId="5F53953E" w14:textId="45FC2726" w:rsidR="00D74523" w:rsidRDefault="00D74523" w:rsidP="00D74523">
      <w:pPr>
        <w:ind w:left="2148"/>
        <w:jc w:val="both"/>
      </w:pPr>
      <w:r w:rsidRPr="00D74523">
        <w:t>Si bien la CREG 101 013 de 2022 señala que: “</w:t>
      </w:r>
      <w:r w:rsidRPr="00FA77E4">
        <w:rPr>
          <w:i/>
          <w:iCs/>
        </w:rPr>
        <w:t>El reconocimiento de los costos de la inversión no aplica a la infraestructura de propiedad del municipio o distrito entregada al prestador del Servicio de Alumbrado Público</w:t>
      </w:r>
      <w:r w:rsidRPr="00D74523">
        <w:t>”, también se precisa que, “</w:t>
      </w:r>
      <w:r w:rsidRPr="00FA77E4">
        <w:rPr>
          <w:i/>
          <w:iCs/>
        </w:rPr>
        <w:t>Para esta infraestructura sólo se reconocen la modernización y reposición</w:t>
      </w:r>
      <w:r w:rsidRPr="00D74523">
        <w:t xml:space="preserve">”, con el fin de considerar dentro del impuesto de alumbrado público los costos de reposición de cada componente que constituye el sistema de iluminación, para el cálculo de los costos anuales equivalente en lugar de usar la tasa de descuento </w:t>
      </w:r>
      <w:r w:rsidRPr="00D74523">
        <w:lastRenderedPageBreak/>
        <w:t>para redes de distribución</w:t>
      </w:r>
      <w:r w:rsidR="0053263C">
        <w:t>,</w:t>
      </w:r>
      <w:r w:rsidRPr="00D74523">
        <w:t xml:space="preserve"> se aplica el IPP con el fin de tener en cuenta el potencial incremento en costos para estos elementos. Lo anterior, teniendo en cuenta además que en </w:t>
      </w:r>
      <w:r w:rsidR="00B10B56">
        <w:t xml:space="preserve">el </w:t>
      </w:r>
      <w:r w:rsidRPr="00D74523">
        <w:t>CONCEPTO CREG 5059 DE 2024 se indica que "</w:t>
      </w:r>
      <w:r w:rsidRPr="00B10B56">
        <w:rPr>
          <w:i/>
          <w:iCs/>
        </w:rPr>
        <w:t>La actividad de mantenimiento incluye también la reposición de activos</w:t>
      </w:r>
      <w:r w:rsidRPr="00B10B56">
        <w:rPr>
          <w:i/>
          <w:iCs/>
          <w:u w:val="single"/>
        </w:rPr>
        <w:t>, cuando su valor no permite aumentar significativamente la vida útil y la calidad del servicio que presta el activo</w:t>
      </w:r>
      <w:r w:rsidRPr="00B10B56">
        <w:rPr>
          <w:i/>
          <w:iCs/>
        </w:rPr>
        <w:t xml:space="preserve">. De lo antes transcrito es necesario aclarar que </w:t>
      </w:r>
      <w:r w:rsidRPr="00B10B56">
        <w:rPr>
          <w:i/>
          <w:iCs/>
          <w:u w:val="single"/>
        </w:rPr>
        <w:t>cuando el mantenimiento requerido significa una inversión que incrementa la vida útil del activo ya no estará contenida en el rubro de mantenimiento sino en el de inversión</w:t>
      </w:r>
      <w:r w:rsidRPr="00D74523">
        <w:t>”. Con esto se busca considerar dentro del impuesto de alumbrado público el dinero suficiente para cuando cada elemento cumpla su vida útil y hacer los recambios que garanticen la continuidad del servicio con la mejor calidad de prestación, que se consideran de forma anualizada para que los usuarios no evidencien un incremento significativo en el año que se deba hacer el recambio, sino por el contrario, que corresponda a un valor diluido y consistente en el tiempo.</w:t>
      </w:r>
      <w:r w:rsidR="0053263C">
        <w:t xml:space="preserve"> </w:t>
      </w:r>
      <w:r w:rsidR="00F9612C">
        <w:t xml:space="preserve">Como resultado del análisis se aplica </w:t>
      </w:r>
      <w:r w:rsidR="00F9612C" w:rsidRPr="00F9612C">
        <w:t xml:space="preserve">un IPP de </w:t>
      </w:r>
      <w:r w:rsidR="00F9612C" w:rsidRPr="00FA77E4">
        <w:rPr>
          <w:highlight w:val="yellow"/>
        </w:rPr>
        <w:t>XXX%</w:t>
      </w:r>
      <w:r w:rsidR="00F9612C" w:rsidRPr="00F9612C">
        <w:t xml:space="preserve">, </w:t>
      </w:r>
      <w:r w:rsidR="0053263C" w:rsidRPr="00F9612C">
        <w:t xml:space="preserve">valor fue seleccionado con base en los registros oficiales publicados por el DANE para el mes de </w:t>
      </w:r>
      <w:r w:rsidR="0053263C" w:rsidRPr="00F9612C">
        <w:rPr>
          <w:highlight w:val="yellow"/>
        </w:rPr>
        <w:t>XXXX</w:t>
      </w:r>
      <w:r w:rsidR="0053263C" w:rsidRPr="00F9612C">
        <w:t xml:space="preserve"> del año </w:t>
      </w:r>
      <w:r w:rsidR="0053263C" w:rsidRPr="00F9612C">
        <w:rPr>
          <w:highlight w:val="yellow"/>
        </w:rPr>
        <w:t>XXXX</w:t>
      </w:r>
      <w:r w:rsidR="0053263C" w:rsidRPr="00F9612C">
        <w:t>.</w:t>
      </w:r>
    </w:p>
    <w:p w14:paraId="24FF3452" w14:textId="59A4178F" w:rsidR="007F6F08" w:rsidRDefault="00D74523" w:rsidP="009A6CEC">
      <w:pPr>
        <w:ind w:left="2148"/>
        <w:jc w:val="both"/>
      </w:pPr>
      <w:r w:rsidRPr="00AD2BC9">
        <w:rPr>
          <w:i/>
          <w:iCs/>
          <w:color w:val="BFBFBF" w:themeColor="background1" w:themeShade="BF"/>
        </w:rPr>
        <w:t xml:space="preserve">(Incluir </w:t>
      </w:r>
      <w:r>
        <w:rPr>
          <w:i/>
          <w:iCs/>
          <w:color w:val="BFBFBF" w:themeColor="background1" w:themeShade="BF"/>
        </w:rPr>
        <w:t xml:space="preserve">en esta sección </w:t>
      </w:r>
      <w:r w:rsidRPr="00AD2BC9">
        <w:rPr>
          <w:i/>
          <w:iCs/>
          <w:color w:val="BFBFBF" w:themeColor="background1" w:themeShade="BF"/>
        </w:rPr>
        <w:t>el recorte de la publicación del DANE con el cual se define el valor)</w:t>
      </w:r>
    </w:p>
    <w:p w14:paraId="6E0BF660" w14:textId="77777777" w:rsidR="007F6F08" w:rsidRDefault="007F6F08" w:rsidP="003B1E97">
      <w:pPr>
        <w:pStyle w:val="Descripcin"/>
        <w:keepNext/>
        <w:spacing w:after="0"/>
        <w:jc w:val="center"/>
      </w:pPr>
    </w:p>
    <w:p w14:paraId="71208034" w14:textId="419650F8" w:rsidR="00DD6794" w:rsidRDefault="00DD6794" w:rsidP="00DD6794">
      <w:pPr>
        <w:pStyle w:val="Prrafodelista"/>
        <w:ind w:left="2124"/>
        <w:jc w:val="both"/>
        <w:rPr>
          <w:b/>
          <w:bCs/>
        </w:rPr>
      </w:pPr>
      <w:r>
        <w:rPr>
          <w:b/>
          <w:bCs/>
        </w:rPr>
        <w:t>C</w:t>
      </w:r>
      <w:r w:rsidRPr="00DD6794">
        <w:rPr>
          <w:b/>
          <w:bCs/>
        </w:rPr>
        <w:t>ostos ambientales del servicio de alumbrado</w:t>
      </w:r>
      <w:r>
        <w:rPr>
          <w:b/>
          <w:bCs/>
        </w:rPr>
        <w:t xml:space="preserve"> </w:t>
      </w:r>
      <w:r w:rsidRPr="00DD6794">
        <w:rPr>
          <w:b/>
          <w:bCs/>
        </w:rPr>
        <w:t>público</w:t>
      </w:r>
    </w:p>
    <w:p w14:paraId="26625D0C" w14:textId="77777777" w:rsidR="00DD6794" w:rsidRDefault="00DD6794" w:rsidP="00DD6794">
      <w:pPr>
        <w:pStyle w:val="Prrafodelista"/>
        <w:ind w:left="1440" w:firstLine="684"/>
        <w:jc w:val="both"/>
        <w:rPr>
          <w:b/>
          <w:bCs/>
        </w:rPr>
      </w:pPr>
    </w:p>
    <w:p w14:paraId="141F4D96" w14:textId="1D6C6144" w:rsidR="00DD6794" w:rsidRDefault="00DD6794" w:rsidP="00DD6794">
      <w:pPr>
        <w:pStyle w:val="Prrafodelista"/>
        <w:ind w:left="2124"/>
        <w:jc w:val="both"/>
      </w:pPr>
      <w:r w:rsidRPr="00F3585D">
        <w:t>Para efectos del análisis se tienen en cuenta el valor máximo reconocido para los costos ambientales a partir de la entrada en operación del proyecto de inversión por la modernización de la infraestructura de alumbrado público</w:t>
      </w:r>
      <w:r w:rsidR="001B3A52">
        <w:t>,</w:t>
      </w:r>
      <w:r w:rsidRPr="00F3585D">
        <w:t xml:space="preserve"> que la CREG 101 013 de 2022 los define como máximo 5% de los costos anuales de la administración, operación y mantenimiento, CAOM</w:t>
      </w:r>
      <w:r>
        <w:t xml:space="preserve">. Por lo tanto, </w:t>
      </w:r>
      <w:r w:rsidR="00B10B56">
        <w:t>en</w:t>
      </w:r>
      <w:r>
        <w:t xml:space="preserve"> el proyecto se calcula para la alternativa ganadora el valor máximo de 5% de los costos CAOM, siguiendo lo establecido en el artículo 38 de la CREG 101 013 de 2022.  El cual en este análisis se contempla dentro del COTR.</w:t>
      </w:r>
    </w:p>
    <w:p w14:paraId="0B0E0A07" w14:textId="77777777" w:rsidR="00DD6794" w:rsidRDefault="00DD6794" w:rsidP="00F21DE2">
      <w:pPr>
        <w:jc w:val="both"/>
      </w:pPr>
    </w:p>
    <w:p w14:paraId="04C2224B" w14:textId="0BF6400C" w:rsidR="00F21DE2" w:rsidRPr="00F21DE2" w:rsidRDefault="00F21DE2" w:rsidP="00F21DE2">
      <w:pPr>
        <w:jc w:val="both"/>
      </w:pPr>
      <w:r>
        <w:lastRenderedPageBreak/>
        <w:t xml:space="preserve">A continuación, se presentan los resultados obtenidos de realizar los cálculos para el año </w:t>
      </w:r>
      <w:r w:rsidR="00D97DC7">
        <w:t>1</w:t>
      </w:r>
      <w:r w:rsidR="00B10B56">
        <w:t xml:space="preserve"> </w:t>
      </w:r>
      <w:r w:rsidR="001B3A52">
        <w:t xml:space="preserve">en el </w:t>
      </w:r>
      <w:r w:rsidR="00B10B56">
        <w:t>que se hace la inversión,</w:t>
      </w:r>
      <w:r>
        <w:t xml:space="preserve"> teniendo en cuenta los ajustes indicados que van a generar diferencias en los valores de análisis de alternativas y que incluyen las consideraciones de cada caso con el fin de contemplar todos los costos del impuesto. </w:t>
      </w:r>
    </w:p>
    <w:p w14:paraId="6E809203" w14:textId="2D906F23" w:rsidR="003B1E97" w:rsidRDefault="003B1E97" w:rsidP="003B1E97">
      <w:pPr>
        <w:pStyle w:val="Descripcin"/>
        <w:keepNext/>
        <w:spacing w:after="0"/>
        <w:jc w:val="center"/>
      </w:pPr>
      <w:r>
        <w:t xml:space="preserve">Tabla </w:t>
      </w:r>
      <w:fldSimple w:instr=" SEQ Tabla \* ARABIC ">
        <w:r w:rsidR="000471F3">
          <w:rPr>
            <w:noProof/>
          </w:rPr>
          <w:t>1</w:t>
        </w:r>
      </w:fldSimple>
      <w:r>
        <w:t xml:space="preserve">. </w:t>
      </w:r>
      <w:r w:rsidRPr="001F03FE">
        <w:t>R</w:t>
      </w:r>
      <w:r>
        <w:t>esultado de valores que componente el impuesto de CAP para el primer año del proyecto</w:t>
      </w:r>
    </w:p>
    <w:p w14:paraId="556E6131" w14:textId="6768BA3B" w:rsidR="003B1E97" w:rsidRDefault="003B1E97" w:rsidP="003B1E97">
      <w:pPr>
        <w:spacing w:after="0"/>
        <w:jc w:val="center"/>
        <w:rPr>
          <w:i/>
          <w:iCs/>
          <w:color w:val="BFBFBF" w:themeColor="background1" w:themeShade="BF"/>
        </w:rPr>
      </w:pPr>
      <w:r w:rsidRPr="00B53195">
        <w:rPr>
          <w:i/>
          <w:iCs/>
          <w:color w:val="BFBFBF" w:themeColor="background1" w:themeShade="BF"/>
        </w:rPr>
        <w:t xml:space="preserve">(Incluir en este espacio </w:t>
      </w:r>
      <w:r>
        <w:rPr>
          <w:i/>
          <w:iCs/>
          <w:color w:val="BFBFBF" w:themeColor="background1" w:themeShade="BF"/>
        </w:rPr>
        <w:t>el resumen de los valores totales que se obtienen para componentes del impuesto de Alumbrado público para el año 1 co</w:t>
      </w:r>
      <w:r w:rsidR="001B3A52">
        <w:rPr>
          <w:i/>
          <w:iCs/>
          <w:color w:val="BFBFBF" w:themeColor="background1" w:themeShade="BF"/>
        </w:rPr>
        <w:t>n</w:t>
      </w:r>
      <w:r>
        <w:rPr>
          <w:i/>
          <w:iCs/>
          <w:color w:val="BFBFBF" w:themeColor="background1" w:themeShade="BF"/>
        </w:rPr>
        <w:t xml:space="preserve"> referencia</w:t>
      </w:r>
      <w:r w:rsidRPr="00B53195">
        <w:rPr>
          <w:i/>
          <w:iCs/>
          <w:color w:val="BFBFBF" w:themeColor="background1" w:themeShade="BF"/>
        </w:rPr>
        <w:t xml:space="preserve"> </w:t>
      </w:r>
      <w:r w:rsidR="001B3A52">
        <w:rPr>
          <w:i/>
          <w:iCs/>
          <w:color w:val="BFBFBF" w:themeColor="background1" w:themeShade="BF"/>
        </w:rPr>
        <w:t>al</w:t>
      </w:r>
      <w:r w:rsidR="001B3A52" w:rsidRPr="00B53195">
        <w:rPr>
          <w:i/>
          <w:iCs/>
          <w:color w:val="BFBFBF" w:themeColor="background1" w:themeShade="BF"/>
        </w:rPr>
        <w:t xml:space="preserve"> </w:t>
      </w:r>
      <w:r w:rsidRPr="00B53195">
        <w:rPr>
          <w:i/>
          <w:iCs/>
          <w:color w:val="BFBFBF" w:themeColor="background1" w:themeShade="BF"/>
        </w:rPr>
        <w:t>documento “</w:t>
      </w:r>
      <w:proofErr w:type="spellStart"/>
      <w:r w:rsidRPr="00B53195">
        <w:rPr>
          <w:i/>
          <w:iCs/>
          <w:color w:val="BFBFBF" w:themeColor="background1" w:themeShade="BF"/>
        </w:rPr>
        <w:t>Formato_Evaluación</w:t>
      </w:r>
      <w:proofErr w:type="spellEnd"/>
      <w:r w:rsidRPr="00B53195">
        <w:rPr>
          <w:i/>
          <w:iCs/>
          <w:color w:val="BFBFBF" w:themeColor="background1" w:themeShade="BF"/>
        </w:rPr>
        <w:t xml:space="preserve"> Técnico-</w:t>
      </w:r>
      <w:proofErr w:type="spellStart"/>
      <w:r w:rsidRPr="00B53195">
        <w:rPr>
          <w:i/>
          <w:iCs/>
          <w:color w:val="BFBFBF" w:themeColor="background1" w:themeShade="BF"/>
        </w:rPr>
        <w:t>Económica_RETILAP</w:t>
      </w:r>
      <w:proofErr w:type="spellEnd"/>
      <w:r w:rsidRPr="00B53195">
        <w:rPr>
          <w:i/>
          <w:iCs/>
          <w:color w:val="BFBFBF" w:themeColor="background1" w:themeShade="BF"/>
        </w:rPr>
        <w:t xml:space="preserve"> 2024.xlsx”)</w:t>
      </w:r>
    </w:p>
    <w:p w14:paraId="3E7BE828" w14:textId="77777777" w:rsidR="00905F75" w:rsidRDefault="00905F75" w:rsidP="00905F75">
      <w:pPr>
        <w:jc w:val="both"/>
      </w:pPr>
    </w:p>
    <w:p w14:paraId="43E9B993" w14:textId="3F0BED5B" w:rsidR="00DF12D6" w:rsidRDefault="000A6739" w:rsidP="00DF12D6">
      <w:pPr>
        <w:jc w:val="both"/>
      </w:pPr>
      <w:r w:rsidRPr="000A6739">
        <w:t xml:space="preserve">De esta manera se obtiene un valor de CAP para el año </w:t>
      </w:r>
      <w:r w:rsidR="006146BF">
        <w:t>1</w:t>
      </w:r>
      <w:r w:rsidRPr="000A6739">
        <w:t xml:space="preserve"> del proyecto:</w:t>
      </w:r>
    </w:p>
    <w:p w14:paraId="318FEE97" w14:textId="77777777" w:rsidR="00E66AB5" w:rsidRPr="00C151AA" w:rsidRDefault="00E66AB5" w:rsidP="00E66AB5">
      <w:pPr>
        <w:jc w:val="both"/>
        <w:rPr>
          <w:rFonts w:eastAsiaTheme="minorEastAsia"/>
        </w:rPr>
      </w:pPr>
      <m:oMathPara>
        <m:oMath>
          <m:r>
            <w:rPr>
              <w:rFonts w:ascii="Cambria Math" w:hAnsi="Cambria Math"/>
            </w:rPr>
            <m:t>CAP=CSEE+CINV+CAOM+COTR</m:t>
          </m:r>
        </m:oMath>
      </m:oMathPara>
    </w:p>
    <w:p w14:paraId="777A69E1" w14:textId="30D8BAFD" w:rsidR="00E66AB5" w:rsidRDefault="00E66AB5" w:rsidP="00E66AB5">
      <w:pPr>
        <w:spacing w:after="0"/>
        <w:jc w:val="center"/>
        <w:rPr>
          <w:i/>
          <w:iCs/>
          <w:color w:val="BFBFBF" w:themeColor="background1" w:themeShade="BF"/>
        </w:rPr>
      </w:pPr>
      <w:r w:rsidRPr="00B53195">
        <w:rPr>
          <w:i/>
          <w:iCs/>
          <w:color w:val="BFBFBF" w:themeColor="background1" w:themeShade="BF"/>
        </w:rPr>
        <w:t>(</w:t>
      </w:r>
      <w:r>
        <w:rPr>
          <w:i/>
          <w:iCs/>
          <w:color w:val="BFBFBF" w:themeColor="background1" w:themeShade="BF"/>
        </w:rPr>
        <w:t>Reemplazar los valores de cada componente y relacionar el valor final de CAP)</w:t>
      </w:r>
    </w:p>
    <w:p w14:paraId="2508CF72" w14:textId="77777777" w:rsidR="00E66AB5" w:rsidRDefault="00E66AB5" w:rsidP="00E66AB5">
      <w:pPr>
        <w:spacing w:after="0"/>
        <w:jc w:val="center"/>
        <w:rPr>
          <w:i/>
          <w:iCs/>
          <w:color w:val="BFBFBF" w:themeColor="background1" w:themeShade="BF"/>
        </w:rPr>
      </w:pPr>
    </w:p>
    <w:p w14:paraId="670F2441" w14:textId="25FCDDD9" w:rsidR="00E66AB5" w:rsidRDefault="00424AE5" w:rsidP="00E66AB5">
      <w:pPr>
        <w:spacing w:after="0"/>
      </w:pPr>
      <w:r w:rsidRPr="00424AE5">
        <w:t xml:space="preserve">A continuación, se encuentra la tabla con los valores cálculos para los 21 años del análisis que se han manejado a lo largo </w:t>
      </w:r>
      <w:r>
        <w:t xml:space="preserve">de la evaluación financiera del proyecto. </w:t>
      </w:r>
    </w:p>
    <w:p w14:paraId="1DA48662" w14:textId="77777777" w:rsidR="00EF3F6D" w:rsidRDefault="00EF3F6D" w:rsidP="00E66AB5">
      <w:pPr>
        <w:spacing w:after="0"/>
      </w:pPr>
    </w:p>
    <w:p w14:paraId="66982252" w14:textId="0396448C" w:rsidR="00EF3F6D" w:rsidRDefault="00EF3F6D" w:rsidP="00EF3F6D">
      <w:pPr>
        <w:pStyle w:val="Descripcin"/>
        <w:keepNext/>
        <w:spacing w:after="0"/>
        <w:jc w:val="center"/>
      </w:pPr>
      <w:r>
        <w:t xml:space="preserve">Tabla </w:t>
      </w:r>
      <w:fldSimple w:instr=" SEQ Tabla \* ARABIC ">
        <w:r w:rsidR="000471F3">
          <w:rPr>
            <w:noProof/>
          </w:rPr>
          <w:t>2</w:t>
        </w:r>
      </w:fldSimple>
      <w:r>
        <w:t xml:space="preserve">. </w:t>
      </w:r>
      <w:r w:rsidRPr="001F03FE">
        <w:t>R</w:t>
      </w:r>
      <w:r>
        <w:t>esultado de valores que componente el impuesto de CAP para los 21 años de análisis</w:t>
      </w:r>
    </w:p>
    <w:p w14:paraId="756992E8" w14:textId="0CC3B337" w:rsidR="00EF3F6D" w:rsidRDefault="00EF3F6D" w:rsidP="00EF3F6D">
      <w:pPr>
        <w:spacing w:after="0"/>
        <w:jc w:val="center"/>
        <w:rPr>
          <w:i/>
          <w:iCs/>
          <w:color w:val="BFBFBF" w:themeColor="background1" w:themeShade="BF"/>
        </w:rPr>
      </w:pPr>
      <w:r w:rsidRPr="00B53195">
        <w:rPr>
          <w:i/>
          <w:iCs/>
          <w:color w:val="BFBFBF" w:themeColor="background1" w:themeShade="BF"/>
        </w:rPr>
        <w:t xml:space="preserve">(Incluir en este espacio </w:t>
      </w:r>
      <w:r w:rsidR="00A2678E">
        <w:rPr>
          <w:i/>
          <w:iCs/>
          <w:color w:val="BFBFBF" w:themeColor="background1" w:themeShade="BF"/>
        </w:rPr>
        <w:t>la tabla “</w:t>
      </w:r>
      <w:r w:rsidR="00A2678E" w:rsidRPr="00A2678E">
        <w:rPr>
          <w:i/>
          <w:iCs/>
          <w:color w:val="BFBFBF" w:themeColor="background1" w:themeShade="BF"/>
        </w:rPr>
        <w:t>Resumen cálculo del impuesto de CAP</w:t>
      </w:r>
      <w:r w:rsidR="00A2678E">
        <w:rPr>
          <w:i/>
          <w:iCs/>
          <w:color w:val="BFBFBF" w:themeColor="background1" w:themeShade="BF"/>
        </w:rPr>
        <w:t>” de la hoja “</w:t>
      </w:r>
      <w:r w:rsidR="00A2678E" w:rsidRPr="00A2678E">
        <w:rPr>
          <w:i/>
          <w:iCs/>
          <w:color w:val="BFBFBF" w:themeColor="background1" w:themeShade="BF"/>
        </w:rPr>
        <w:t>SOSTENIBILIDAD</w:t>
      </w:r>
      <w:r w:rsidR="00A2678E">
        <w:rPr>
          <w:i/>
          <w:iCs/>
          <w:color w:val="BFBFBF" w:themeColor="background1" w:themeShade="BF"/>
        </w:rPr>
        <w:t xml:space="preserve">” </w:t>
      </w:r>
      <w:r w:rsidRPr="00B53195">
        <w:rPr>
          <w:i/>
          <w:iCs/>
          <w:color w:val="BFBFBF" w:themeColor="background1" w:themeShade="BF"/>
        </w:rPr>
        <w:t>del documento “</w:t>
      </w:r>
      <w:proofErr w:type="spellStart"/>
      <w:r w:rsidRPr="00B53195">
        <w:rPr>
          <w:i/>
          <w:iCs/>
          <w:color w:val="BFBFBF" w:themeColor="background1" w:themeShade="BF"/>
        </w:rPr>
        <w:t>Formato_Evaluación</w:t>
      </w:r>
      <w:proofErr w:type="spellEnd"/>
      <w:r w:rsidRPr="00B53195">
        <w:rPr>
          <w:i/>
          <w:iCs/>
          <w:color w:val="BFBFBF" w:themeColor="background1" w:themeShade="BF"/>
        </w:rPr>
        <w:t xml:space="preserve"> Técnico-</w:t>
      </w:r>
      <w:proofErr w:type="spellStart"/>
      <w:r w:rsidRPr="00B53195">
        <w:rPr>
          <w:i/>
          <w:iCs/>
          <w:color w:val="BFBFBF" w:themeColor="background1" w:themeShade="BF"/>
        </w:rPr>
        <w:t>Económica_RETILAP</w:t>
      </w:r>
      <w:proofErr w:type="spellEnd"/>
      <w:r w:rsidRPr="00B53195">
        <w:rPr>
          <w:i/>
          <w:iCs/>
          <w:color w:val="BFBFBF" w:themeColor="background1" w:themeShade="BF"/>
        </w:rPr>
        <w:t xml:space="preserve"> 2024.xlsx”)</w:t>
      </w:r>
    </w:p>
    <w:p w14:paraId="510ED27D" w14:textId="20987C6A" w:rsidR="00E66AB5" w:rsidRDefault="00424AE5" w:rsidP="00DF12D6">
      <w:pPr>
        <w:jc w:val="both"/>
        <w:rPr>
          <w:b/>
          <w:bCs/>
        </w:rPr>
      </w:pPr>
      <w:r w:rsidRPr="00424AE5">
        <w:rPr>
          <w:b/>
          <w:bCs/>
        </w:rPr>
        <w:t xml:space="preserve">RECAUDO: </w:t>
      </w:r>
    </w:p>
    <w:p w14:paraId="6D933221" w14:textId="05553F41" w:rsidR="00424AE5" w:rsidRDefault="00424AE5" w:rsidP="00EC2A6E">
      <w:pPr>
        <w:jc w:val="both"/>
        <w:rPr>
          <w:i/>
          <w:iCs/>
          <w:color w:val="BFBFBF" w:themeColor="background1" w:themeShade="BF"/>
        </w:rPr>
      </w:pPr>
      <w:r w:rsidRPr="0017050D">
        <w:rPr>
          <w:i/>
          <w:iCs/>
          <w:color w:val="BFBFBF" w:themeColor="background1" w:themeShade="BF"/>
        </w:rPr>
        <w:t>Incluir en esta secció</w:t>
      </w:r>
      <w:r>
        <w:rPr>
          <w:i/>
          <w:iCs/>
          <w:color w:val="BFBFBF" w:themeColor="background1" w:themeShade="BF"/>
        </w:rPr>
        <w:t xml:space="preserve">n la información </w:t>
      </w:r>
      <w:r w:rsidR="00550621">
        <w:rPr>
          <w:i/>
          <w:iCs/>
          <w:color w:val="BFBFBF" w:themeColor="background1" w:themeShade="BF"/>
        </w:rPr>
        <w:t xml:space="preserve">exclusiva del impuesto a cobrar para </w:t>
      </w:r>
      <w:r>
        <w:rPr>
          <w:i/>
          <w:iCs/>
          <w:color w:val="BFBFBF" w:themeColor="background1" w:themeShade="BF"/>
        </w:rPr>
        <w:t>el proyecto</w:t>
      </w:r>
      <w:r w:rsidR="00550621">
        <w:rPr>
          <w:i/>
          <w:iCs/>
          <w:color w:val="BFBFBF" w:themeColor="background1" w:themeShade="BF"/>
        </w:rPr>
        <w:t xml:space="preserve">, si bien el municipio debe contar con un impuesto para el alumbrado de todo el municipio, el análisis se limita solo al proyecto lo cual se </w:t>
      </w:r>
      <w:r w:rsidR="00EC2A6E">
        <w:rPr>
          <w:i/>
          <w:iCs/>
          <w:color w:val="BFBFBF" w:themeColor="background1" w:themeShade="BF"/>
        </w:rPr>
        <w:t>recomienda</w:t>
      </w:r>
      <w:r w:rsidR="00550621">
        <w:rPr>
          <w:i/>
          <w:iCs/>
          <w:color w:val="BFBFBF" w:themeColor="background1" w:themeShade="BF"/>
        </w:rPr>
        <w:t xml:space="preserve"> indicar en esta sección con ese alcance.</w:t>
      </w:r>
      <w:r>
        <w:rPr>
          <w:i/>
          <w:iCs/>
          <w:color w:val="BFBFBF" w:themeColor="background1" w:themeShade="BF"/>
        </w:rPr>
        <w:t xml:space="preserve"> </w:t>
      </w:r>
      <w:r w:rsidR="00550621">
        <w:rPr>
          <w:i/>
          <w:iCs/>
          <w:color w:val="BFBFBF" w:themeColor="background1" w:themeShade="BF"/>
        </w:rPr>
        <w:t>S</w:t>
      </w:r>
      <w:r>
        <w:rPr>
          <w:i/>
          <w:iCs/>
          <w:color w:val="BFBFBF" w:themeColor="background1" w:themeShade="BF"/>
        </w:rPr>
        <w:t xml:space="preserve">e relacionan algunos ejemplos de referencia para el diligenciamiento del formulador: </w:t>
      </w:r>
    </w:p>
    <w:p w14:paraId="0EE6A7F3" w14:textId="6A0F7823" w:rsidR="00550621" w:rsidRDefault="00550621" w:rsidP="00550621">
      <w:pPr>
        <w:pStyle w:val="Prrafodelista"/>
        <w:numPr>
          <w:ilvl w:val="0"/>
          <w:numId w:val="8"/>
        </w:numPr>
        <w:rPr>
          <w:i/>
          <w:iCs/>
          <w:color w:val="BFBFBF" w:themeColor="background1" w:themeShade="BF"/>
        </w:rPr>
      </w:pPr>
      <w:r>
        <w:rPr>
          <w:i/>
          <w:iCs/>
          <w:color w:val="BFBFBF" w:themeColor="background1" w:themeShade="BF"/>
        </w:rPr>
        <w:t>C</w:t>
      </w:r>
      <w:r w:rsidR="00EC2A6E">
        <w:rPr>
          <w:i/>
          <w:iCs/>
          <w:color w:val="BFBFBF" w:themeColor="background1" w:themeShade="BF"/>
        </w:rPr>
        <w:t>ó</w:t>
      </w:r>
      <w:r>
        <w:rPr>
          <w:i/>
          <w:iCs/>
          <w:color w:val="BFBFBF" w:themeColor="background1" w:themeShade="BF"/>
        </w:rPr>
        <w:t xml:space="preserve">mo el municipio va a realizar el recaudo del impuesto, ejemplos de cobro del impuesto mediante: </w:t>
      </w:r>
    </w:p>
    <w:p w14:paraId="280F8DC5" w14:textId="77777777" w:rsidR="00550621" w:rsidRDefault="00550621" w:rsidP="00CC41CA">
      <w:pPr>
        <w:pStyle w:val="Prrafodelista"/>
        <w:numPr>
          <w:ilvl w:val="2"/>
          <w:numId w:val="8"/>
        </w:numPr>
        <w:rPr>
          <w:i/>
          <w:iCs/>
          <w:color w:val="BFBFBF" w:themeColor="background1" w:themeShade="BF"/>
        </w:rPr>
      </w:pPr>
      <w:r>
        <w:rPr>
          <w:i/>
          <w:iCs/>
          <w:color w:val="BFBFBF" w:themeColor="background1" w:themeShade="BF"/>
        </w:rPr>
        <w:t>Factura de energía eléctrica</w:t>
      </w:r>
    </w:p>
    <w:p w14:paraId="292EC13D" w14:textId="05D433B1" w:rsidR="00550621" w:rsidRDefault="00550621" w:rsidP="00CC41CA">
      <w:pPr>
        <w:pStyle w:val="Prrafodelista"/>
        <w:numPr>
          <w:ilvl w:val="2"/>
          <w:numId w:val="8"/>
        </w:numPr>
        <w:rPr>
          <w:i/>
          <w:iCs/>
          <w:color w:val="BFBFBF" w:themeColor="background1" w:themeShade="BF"/>
        </w:rPr>
      </w:pPr>
      <w:r>
        <w:rPr>
          <w:i/>
          <w:iCs/>
          <w:color w:val="BFBFBF" w:themeColor="background1" w:themeShade="BF"/>
        </w:rPr>
        <w:t xml:space="preserve"> </w:t>
      </w:r>
      <w:r w:rsidR="00CC41CA">
        <w:rPr>
          <w:i/>
          <w:iCs/>
          <w:color w:val="BFBFBF" w:themeColor="background1" w:themeShade="BF"/>
        </w:rPr>
        <w:t>Impuesto predial</w:t>
      </w:r>
    </w:p>
    <w:p w14:paraId="13183B81" w14:textId="051C210F" w:rsidR="00CC41CA" w:rsidRDefault="00CC41CA" w:rsidP="00CC41CA">
      <w:pPr>
        <w:pStyle w:val="Prrafodelista"/>
        <w:numPr>
          <w:ilvl w:val="1"/>
          <w:numId w:val="8"/>
        </w:numPr>
        <w:rPr>
          <w:i/>
          <w:iCs/>
          <w:color w:val="BFBFBF" w:themeColor="background1" w:themeShade="BF"/>
        </w:rPr>
      </w:pPr>
      <w:r w:rsidRPr="00CC41CA">
        <w:rPr>
          <w:i/>
          <w:iCs/>
          <w:color w:val="BFBFBF" w:themeColor="background1" w:themeShade="BF"/>
          <w:u w:val="single"/>
        </w:rPr>
        <w:t>Nota</w:t>
      </w:r>
      <w:r>
        <w:rPr>
          <w:i/>
          <w:iCs/>
          <w:color w:val="BFBFBF" w:themeColor="background1" w:themeShade="BF"/>
        </w:rPr>
        <w:t xml:space="preserve">: se debe especificar la periodicidad con la cual se hará el cobro </w:t>
      </w:r>
    </w:p>
    <w:p w14:paraId="343AAD14" w14:textId="4AADC4B3" w:rsidR="00CC41CA" w:rsidRDefault="00CC41CA" w:rsidP="00550621">
      <w:pPr>
        <w:pStyle w:val="Prrafodelista"/>
        <w:numPr>
          <w:ilvl w:val="0"/>
          <w:numId w:val="8"/>
        </w:numPr>
        <w:rPr>
          <w:i/>
          <w:iCs/>
          <w:color w:val="BFBFBF" w:themeColor="background1" w:themeShade="BF"/>
        </w:rPr>
      </w:pPr>
      <w:r>
        <w:rPr>
          <w:i/>
          <w:iCs/>
          <w:color w:val="BFBFBF" w:themeColor="background1" w:themeShade="BF"/>
        </w:rPr>
        <w:t>Usuarios a los cuales se cobrará el impuesto, siendo recomendable que se tenga en cuenta la totalidad de la población según información del DANE</w:t>
      </w:r>
      <w:r w:rsidR="001E2451">
        <w:rPr>
          <w:i/>
          <w:iCs/>
          <w:color w:val="BFBFBF" w:themeColor="background1" w:themeShade="BF"/>
        </w:rPr>
        <w:t xml:space="preserve"> (incluir el debido soporte)</w:t>
      </w:r>
      <w:r>
        <w:rPr>
          <w:i/>
          <w:iCs/>
          <w:color w:val="BFBFBF" w:themeColor="background1" w:themeShade="BF"/>
        </w:rPr>
        <w:t xml:space="preserve">, dado que, si bien puede que se intervenga un área específica, por ese espacio puede circular cualquier habitante del municipio. </w:t>
      </w:r>
    </w:p>
    <w:p w14:paraId="6754E653" w14:textId="593B97EA" w:rsidR="00424AE5" w:rsidRDefault="00550621" w:rsidP="00550621">
      <w:pPr>
        <w:pStyle w:val="Prrafodelista"/>
        <w:numPr>
          <w:ilvl w:val="0"/>
          <w:numId w:val="8"/>
        </w:numPr>
        <w:rPr>
          <w:i/>
          <w:iCs/>
          <w:color w:val="BFBFBF" w:themeColor="background1" w:themeShade="BF"/>
        </w:rPr>
      </w:pPr>
      <w:r>
        <w:rPr>
          <w:i/>
          <w:iCs/>
          <w:color w:val="BFBFBF" w:themeColor="background1" w:themeShade="BF"/>
        </w:rPr>
        <w:lastRenderedPageBreak/>
        <w:t xml:space="preserve">El rubro presupuestal </w:t>
      </w:r>
      <w:r w:rsidR="00CC41CA">
        <w:rPr>
          <w:i/>
          <w:iCs/>
          <w:color w:val="BFBFBF" w:themeColor="background1" w:themeShade="BF"/>
        </w:rPr>
        <w:t xml:space="preserve">en el cual el municipio guardará el dinero que recolectará indicando que ese dinero se destinará solo a garantizar el funcionamiento del proyecto. </w:t>
      </w:r>
    </w:p>
    <w:p w14:paraId="50B27AB3" w14:textId="16E7154C" w:rsidR="00CC41CA" w:rsidRPr="00550621" w:rsidRDefault="000F7902" w:rsidP="00550621">
      <w:pPr>
        <w:pStyle w:val="Prrafodelista"/>
        <w:numPr>
          <w:ilvl w:val="0"/>
          <w:numId w:val="8"/>
        </w:numPr>
        <w:rPr>
          <w:i/>
          <w:iCs/>
          <w:color w:val="BFBFBF" w:themeColor="background1" w:themeShade="BF"/>
        </w:rPr>
      </w:pPr>
      <w:r>
        <w:rPr>
          <w:i/>
          <w:iCs/>
          <w:color w:val="BFBFBF" w:themeColor="background1" w:themeShade="BF"/>
        </w:rPr>
        <w:t xml:space="preserve">Se debe indicar el valor a cobrar a cada usuario, si bien el municipio puede plantear un valor </w:t>
      </w:r>
      <w:r w:rsidR="0090729E">
        <w:rPr>
          <w:i/>
          <w:iCs/>
          <w:color w:val="BFBFBF" w:themeColor="background1" w:themeShade="BF"/>
        </w:rPr>
        <w:t>porcentual según el estrato de cada usuario, se recomienda que para efectos del análisis se incluya un valor constante el cual</w:t>
      </w:r>
      <w:r w:rsidR="001347FE">
        <w:rPr>
          <w:i/>
          <w:iCs/>
          <w:color w:val="BFBFBF" w:themeColor="background1" w:themeShade="BF"/>
        </w:rPr>
        <w:t>,</w:t>
      </w:r>
      <w:r w:rsidR="0090729E">
        <w:rPr>
          <w:i/>
          <w:iCs/>
          <w:color w:val="BFBFBF" w:themeColor="background1" w:themeShade="BF"/>
        </w:rPr>
        <w:t xml:space="preserve"> en caso de incluirse</w:t>
      </w:r>
      <w:r w:rsidR="001347FE">
        <w:rPr>
          <w:i/>
          <w:iCs/>
          <w:color w:val="BFBFBF" w:themeColor="background1" w:themeShade="BF"/>
        </w:rPr>
        <w:t>,</w:t>
      </w:r>
      <w:r w:rsidR="0090729E">
        <w:rPr>
          <w:i/>
          <w:iCs/>
          <w:color w:val="BFBFBF" w:themeColor="background1" w:themeShade="BF"/>
        </w:rPr>
        <w:t xml:space="preserve"> deberá indicarse como supuesto. </w:t>
      </w:r>
    </w:p>
    <w:p w14:paraId="647075C4" w14:textId="4A57022A" w:rsidR="00424AE5" w:rsidRDefault="006C3215" w:rsidP="00DF12D6">
      <w:pPr>
        <w:jc w:val="both"/>
        <w:rPr>
          <w:b/>
          <w:bCs/>
        </w:rPr>
      </w:pPr>
      <w:r>
        <w:rPr>
          <w:b/>
          <w:bCs/>
        </w:rPr>
        <w:t>CONCLUSIONES:</w:t>
      </w:r>
    </w:p>
    <w:p w14:paraId="64F0B51F" w14:textId="75B69F47" w:rsidR="00A41FBB" w:rsidRPr="00A41FBB" w:rsidRDefault="006C3215" w:rsidP="00A41FBB">
      <w:pPr>
        <w:jc w:val="both"/>
        <w:rPr>
          <w:i/>
          <w:iCs/>
          <w:color w:val="BFBFBF" w:themeColor="background1" w:themeShade="BF"/>
        </w:rPr>
      </w:pPr>
      <w:r w:rsidRPr="006C3215">
        <w:rPr>
          <w:i/>
          <w:iCs/>
          <w:color w:val="BFBFBF" w:themeColor="background1" w:themeShade="BF"/>
        </w:rPr>
        <w:t xml:space="preserve">Incluir en esta sección las conclusiones del análisis, se relacionan algunas conclusiones a modo de ejemplo: </w:t>
      </w:r>
    </w:p>
    <w:p w14:paraId="12997D8A" w14:textId="760FA988" w:rsidR="00A41FBB" w:rsidRPr="00A41FBB" w:rsidRDefault="00A41FBB" w:rsidP="00A41FBB">
      <w:pPr>
        <w:pStyle w:val="Prrafodelista"/>
        <w:numPr>
          <w:ilvl w:val="0"/>
          <w:numId w:val="10"/>
        </w:numPr>
        <w:jc w:val="both"/>
        <w:rPr>
          <w:i/>
          <w:iCs/>
          <w:color w:val="BFBFBF" w:themeColor="background1" w:themeShade="BF"/>
        </w:rPr>
      </w:pPr>
      <w:r w:rsidRPr="00A41FBB">
        <w:rPr>
          <w:i/>
          <w:iCs/>
          <w:color w:val="BFBFBF" w:themeColor="background1" w:themeShade="BF"/>
        </w:rPr>
        <w:t>El análisis técnico-financiero incluyó una proyección integral de los costos de Administración, Operación y Mantenimiento (AOM), así como la reposición programada de activos clave del sistema, permitiendo identificar con precisión los requerimientos anuales de inversión para mantener el servicio en condiciones óptimas</w:t>
      </w:r>
      <w:r w:rsidR="001347FE">
        <w:rPr>
          <w:i/>
          <w:iCs/>
          <w:color w:val="BFBFBF" w:themeColor="background1" w:themeShade="BF"/>
        </w:rPr>
        <w:t xml:space="preserve">, mediante la definición del costo máximos de conformidad con la normativa establecida por la CREG. </w:t>
      </w:r>
    </w:p>
    <w:p w14:paraId="188D099E" w14:textId="09367728" w:rsidR="00A41FBB" w:rsidRPr="00A41FBB" w:rsidRDefault="00A41FBB" w:rsidP="00A41FBB">
      <w:pPr>
        <w:pStyle w:val="Prrafodelista"/>
        <w:numPr>
          <w:ilvl w:val="0"/>
          <w:numId w:val="10"/>
        </w:numPr>
        <w:jc w:val="both"/>
        <w:rPr>
          <w:i/>
          <w:iCs/>
          <w:color w:val="BFBFBF" w:themeColor="background1" w:themeShade="BF"/>
        </w:rPr>
      </w:pPr>
      <w:r w:rsidRPr="00A41FBB">
        <w:rPr>
          <w:i/>
          <w:iCs/>
          <w:color w:val="BFBFBF" w:themeColor="background1" w:themeShade="BF"/>
        </w:rPr>
        <w:t xml:space="preserve">Se calculó un costo máximo del impuesto de AP entre </w:t>
      </w:r>
      <w:r w:rsidRPr="00A41FBB">
        <w:rPr>
          <w:i/>
          <w:iCs/>
          <w:color w:val="BFBFBF" w:themeColor="background1" w:themeShade="BF"/>
          <w:highlight w:val="yellow"/>
        </w:rPr>
        <w:t>$XXX.XXX(año</w:t>
      </w:r>
      <w:r w:rsidR="00D97DC7">
        <w:rPr>
          <w:i/>
          <w:iCs/>
          <w:color w:val="BFBFBF" w:themeColor="background1" w:themeShade="BF"/>
          <w:highlight w:val="yellow"/>
        </w:rPr>
        <w:t>1</w:t>
      </w:r>
      <w:r w:rsidRPr="00A41FBB">
        <w:rPr>
          <w:i/>
          <w:iCs/>
          <w:color w:val="BFBFBF" w:themeColor="background1" w:themeShade="BF"/>
          <w:highlight w:val="yellow"/>
        </w:rPr>
        <w:t>)</w:t>
      </w:r>
      <w:r w:rsidRPr="00A41FBB">
        <w:rPr>
          <w:i/>
          <w:iCs/>
          <w:color w:val="BFBFBF" w:themeColor="background1" w:themeShade="BF"/>
        </w:rPr>
        <w:t xml:space="preserve"> y </w:t>
      </w:r>
      <w:r w:rsidRPr="00A41FBB">
        <w:rPr>
          <w:i/>
          <w:iCs/>
          <w:color w:val="BFBFBF" w:themeColor="background1" w:themeShade="BF"/>
          <w:highlight w:val="yellow"/>
        </w:rPr>
        <w:t>$XXX.XXX(año21)</w:t>
      </w:r>
      <w:r w:rsidRPr="00A41FBB">
        <w:rPr>
          <w:i/>
          <w:iCs/>
          <w:color w:val="BFBFBF" w:themeColor="background1" w:themeShade="BF"/>
        </w:rPr>
        <w:t xml:space="preserve"> a lo largo de la vida útil del proyecto para cada vivienda, y de esta manera hacer uso del recaudo para cubrir los costos y garantizar la continuidad de la prestación del servicio. </w:t>
      </w:r>
    </w:p>
    <w:p w14:paraId="10530802" w14:textId="5AB02724" w:rsidR="006C3215" w:rsidRDefault="00A41FBB" w:rsidP="00DF12D6">
      <w:pPr>
        <w:pStyle w:val="Prrafodelista"/>
        <w:numPr>
          <w:ilvl w:val="0"/>
          <w:numId w:val="10"/>
        </w:numPr>
        <w:jc w:val="both"/>
        <w:rPr>
          <w:i/>
          <w:iCs/>
          <w:color w:val="BFBFBF" w:themeColor="background1" w:themeShade="BF"/>
        </w:rPr>
      </w:pPr>
      <w:r w:rsidRPr="00A41FBB">
        <w:rPr>
          <w:i/>
          <w:iCs/>
          <w:color w:val="BFBFBF" w:themeColor="background1" w:themeShade="BF"/>
        </w:rPr>
        <w:t xml:space="preserve">Finalmente, el proyecto contribuye no solo a la mejora del servicio de alumbrado público, sino también a la eficiencia energética y la responsabilidad fiscal, al establecer un esquema diferenciado que permita financiar el mantenimiento con los mismos recursos generados por el sistema. </w:t>
      </w:r>
    </w:p>
    <w:p w14:paraId="31630A10" w14:textId="4ABEF9BB" w:rsidR="001347FE" w:rsidRDefault="001347FE" w:rsidP="001347FE">
      <w:pPr>
        <w:jc w:val="both"/>
        <w:rPr>
          <w:i/>
          <w:iCs/>
          <w:color w:val="BFBFBF" w:themeColor="background1" w:themeShade="BF"/>
        </w:rPr>
      </w:pPr>
      <w:r w:rsidRPr="001347FE">
        <w:rPr>
          <w:i/>
          <w:iCs/>
          <w:color w:val="BFBFBF" w:themeColor="background1" w:themeShade="BF"/>
          <w:u w:val="single"/>
        </w:rPr>
        <w:t>Nota</w:t>
      </w:r>
      <w:r w:rsidRPr="001347FE">
        <w:rPr>
          <w:i/>
          <w:iCs/>
          <w:color w:val="BFBFBF" w:themeColor="background1" w:themeShade="BF"/>
        </w:rPr>
        <w:t xml:space="preserve">: </w:t>
      </w:r>
      <w:r w:rsidR="002E2EF3">
        <w:rPr>
          <w:i/>
          <w:iCs/>
          <w:color w:val="BFBFBF" w:themeColor="background1" w:themeShade="BF"/>
        </w:rPr>
        <w:t>Lo</w:t>
      </w:r>
      <w:r w:rsidR="001B3A52">
        <w:rPr>
          <w:i/>
          <w:iCs/>
          <w:color w:val="BFBFBF" w:themeColor="background1" w:themeShade="BF"/>
        </w:rPr>
        <w:t>s</w:t>
      </w:r>
      <w:r w:rsidR="002E2EF3">
        <w:rPr>
          <w:i/>
          <w:iCs/>
          <w:color w:val="BFBFBF" w:themeColor="background1" w:themeShade="BF"/>
        </w:rPr>
        <w:t xml:space="preserve"> valor</w:t>
      </w:r>
      <w:r w:rsidR="001B3A52">
        <w:rPr>
          <w:i/>
          <w:iCs/>
          <w:color w:val="BFBFBF" w:themeColor="background1" w:themeShade="BF"/>
        </w:rPr>
        <w:t>es</w:t>
      </w:r>
      <w:r w:rsidR="002E2EF3">
        <w:rPr>
          <w:i/>
          <w:iCs/>
          <w:color w:val="BFBFBF" w:themeColor="background1" w:themeShade="BF"/>
        </w:rPr>
        <w:t xml:space="preserve"> incluidos en esté documento de análisis de sostenibilidad deben coincidir con los valores plasmados en el requisito de plan de sostenibilidad del SGR</w:t>
      </w:r>
      <w:r w:rsidR="001B3A52">
        <w:rPr>
          <w:i/>
          <w:iCs/>
          <w:color w:val="BFBFBF" w:themeColor="background1" w:themeShade="BF"/>
        </w:rPr>
        <w:t xml:space="preserve"> (Anexo 07)</w:t>
      </w:r>
      <w:r w:rsidR="002E2EF3">
        <w:rPr>
          <w:i/>
          <w:iCs/>
          <w:color w:val="BFBFBF" w:themeColor="background1" w:themeShade="BF"/>
        </w:rPr>
        <w:t xml:space="preserve">. </w:t>
      </w:r>
      <w:r w:rsidRPr="001347FE">
        <w:rPr>
          <w:i/>
          <w:iCs/>
          <w:color w:val="BFBFBF" w:themeColor="background1" w:themeShade="BF"/>
        </w:rPr>
        <w:t xml:space="preserve"> </w:t>
      </w:r>
      <w:r w:rsidR="000471F3" w:rsidRPr="000471F3">
        <w:rPr>
          <w:i/>
          <w:iCs/>
          <w:color w:val="BFBFBF" w:themeColor="background1" w:themeShade="BF"/>
        </w:rPr>
        <w:t>El presente documento</w:t>
      </w:r>
      <w:r w:rsidR="00FA77E4">
        <w:rPr>
          <w:i/>
          <w:iCs/>
          <w:color w:val="BFBFBF" w:themeColor="background1" w:themeShade="BF"/>
        </w:rPr>
        <w:t xml:space="preserve"> fue elaborado el 26/02/2026 t</w:t>
      </w:r>
      <w:r w:rsidR="000471F3" w:rsidRPr="000471F3">
        <w:rPr>
          <w:i/>
          <w:iCs/>
          <w:color w:val="BFBFBF" w:themeColor="background1" w:themeShade="BF"/>
        </w:rPr>
        <w:t xml:space="preserve"> corresponde a una guía de referencia para facilitar la presentación del análisis con base a la normativa vigente, por lo que será responsabilidad del diseñador verificar que se dé el respetivo cumplimiento normativo, y realizar las actualizaciones de conformidad con los ajustes y actualización que se presenten en la regulación del sector.</w:t>
      </w:r>
      <w:r w:rsidR="001B3A52">
        <w:rPr>
          <w:i/>
          <w:iCs/>
          <w:color w:val="BFBFBF" w:themeColor="background1" w:themeShade="BF"/>
        </w:rPr>
        <w:t xml:space="preserve"> </w:t>
      </w:r>
    </w:p>
    <w:p w14:paraId="62F6F201" w14:textId="77777777" w:rsidR="001347FE" w:rsidRPr="001347FE" w:rsidRDefault="001347FE" w:rsidP="001347FE">
      <w:pPr>
        <w:jc w:val="both"/>
        <w:rPr>
          <w:i/>
          <w:iCs/>
          <w:color w:val="BFBFBF" w:themeColor="background1" w:themeShade="BF"/>
        </w:rPr>
      </w:pPr>
    </w:p>
    <w:p w14:paraId="5E127906" w14:textId="4B565DE0" w:rsidR="00327DDA" w:rsidRDefault="00327DDA" w:rsidP="00327DDA">
      <w:pPr>
        <w:spacing w:after="0"/>
        <w:jc w:val="center"/>
        <w:rPr>
          <w:i/>
          <w:iCs/>
        </w:rPr>
      </w:pPr>
      <w:r w:rsidRPr="00327DDA">
        <w:rPr>
          <w:i/>
          <w:iCs/>
        </w:rPr>
        <w:t>________________________________________</w:t>
      </w:r>
    </w:p>
    <w:p w14:paraId="79878349" w14:textId="3F9AB1AB" w:rsidR="00327DDA" w:rsidRDefault="00327DDA" w:rsidP="00327DDA">
      <w:pPr>
        <w:spacing w:after="0"/>
        <w:jc w:val="center"/>
        <w:rPr>
          <w:i/>
          <w:iCs/>
        </w:rPr>
      </w:pPr>
      <w:r>
        <w:rPr>
          <w:i/>
          <w:iCs/>
        </w:rPr>
        <w:t>Firma del diseñador</w:t>
      </w:r>
    </w:p>
    <w:p w14:paraId="6393EDE8" w14:textId="47261574" w:rsidR="00327DDA" w:rsidRPr="00327DDA" w:rsidRDefault="00327DDA" w:rsidP="00327DDA">
      <w:pPr>
        <w:spacing w:after="0"/>
        <w:jc w:val="center"/>
        <w:rPr>
          <w:i/>
          <w:iCs/>
        </w:rPr>
      </w:pPr>
      <w:r>
        <w:rPr>
          <w:i/>
          <w:iCs/>
        </w:rPr>
        <w:t>Matrícula</w:t>
      </w:r>
    </w:p>
    <w:sectPr w:rsidR="00327DDA" w:rsidRPr="00327DDA">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A0D0D" w14:textId="77777777" w:rsidR="00765D64" w:rsidRDefault="00765D64" w:rsidP="006D67F8">
      <w:pPr>
        <w:spacing w:after="0" w:line="240" w:lineRule="auto"/>
      </w:pPr>
      <w:r>
        <w:separator/>
      </w:r>
    </w:p>
  </w:endnote>
  <w:endnote w:type="continuationSeparator" w:id="0">
    <w:p w14:paraId="6AC91FE4" w14:textId="77777777" w:rsidR="00765D64" w:rsidRDefault="00765D64" w:rsidP="006D6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7849" w14:textId="77777777" w:rsidR="00765D64" w:rsidRDefault="00765D64" w:rsidP="006D67F8">
      <w:pPr>
        <w:spacing w:after="0" w:line="240" w:lineRule="auto"/>
      </w:pPr>
      <w:r>
        <w:separator/>
      </w:r>
    </w:p>
  </w:footnote>
  <w:footnote w:type="continuationSeparator" w:id="0">
    <w:p w14:paraId="3EF29BB1" w14:textId="77777777" w:rsidR="00765D64" w:rsidRDefault="00765D64" w:rsidP="006D6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E7CB" w14:textId="1A57055A" w:rsidR="006D67F8" w:rsidRDefault="006D67F8" w:rsidP="006D67F8">
    <w:pPr>
      <w:pStyle w:val="Encabezado"/>
      <w:jc w:val="center"/>
    </w:pPr>
  </w:p>
  <w:p w14:paraId="421DA02E" w14:textId="77777777" w:rsidR="006D67F8" w:rsidRDefault="006D67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5231"/>
    <w:multiLevelType w:val="hybridMultilevel"/>
    <w:tmpl w:val="41D87792"/>
    <w:lvl w:ilvl="0" w:tplc="49D84FB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25331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D2223AE"/>
    <w:multiLevelType w:val="hybridMultilevel"/>
    <w:tmpl w:val="24AAF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7D52E57"/>
    <w:multiLevelType w:val="hybridMultilevel"/>
    <w:tmpl w:val="BD18FB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890D5E"/>
    <w:multiLevelType w:val="hybridMultilevel"/>
    <w:tmpl w:val="8E98C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8082E25"/>
    <w:multiLevelType w:val="hybridMultilevel"/>
    <w:tmpl w:val="01E86B00"/>
    <w:lvl w:ilvl="0" w:tplc="240A0001">
      <w:start w:val="1"/>
      <w:numFmt w:val="bullet"/>
      <w:lvlText w:val=""/>
      <w:lvlJc w:val="left"/>
      <w:pPr>
        <w:ind w:left="2844" w:hanging="360"/>
      </w:pPr>
      <w:rPr>
        <w:rFonts w:ascii="Symbol" w:hAnsi="Symbol" w:hint="default"/>
      </w:rPr>
    </w:lvl>
    <w:lvl w:ilvl="1" w:tplc="240A0003">
      <w:start w:val="1"/>
      <w:numFmt w:val="bullet"/>
      <w:lvlText w:val="o"/>
      <w:lvlJc w:val="left"/>
      <w:pPr>
        <w:ind w:left="3564" w:hanging="360"/>
      </w:pPr>
      <w:rPr>
        <w:rFonts w:ascii="Courier New" w:hAnsi="Courier New" w:cs="Courier New" w:hint="default"/>
      </w:rPr>
    </w:lvl>
    <w:lvl w:ilvl="2" w:tplc="240A0005" w:tentative="1">
      <w:start w:val="1"/>
      <w:numFmt w:val="bullet"/>
      <w:lvlText w:val=""/>
      <w:lvlJc w:val="left"/>
      <w:pPr>
        <w:ind w:left="4284" w:hanging="360"/>
      </w:pPr>
      <w:rPr>
        <w:rFonts w:ascii="Wingdings" w:hAnsi="Wingdings" w:hint="default"/>
      </w:rPr>
    </w:lvl>
    <w:lvl w:ilvl="3" w:tplc="240A0001" w:tentative="1">
      <w:start w:val="1"/>
      <w:numFmt w:val="bullet"/>
      <w:lvlText w:val=""/>
      <w:lvlJc w:val="left"/>
      <w:pPr>
        <w:ind w:left="5004" w:hanging="360"/>
      </w:pPr>
      <w:rPr>
        <w:rFonts w:ascii="Symbol" w:hAnsi="Symbol" w:hint="default"/>
      </w:rPr>
    </w:lvl>
    <w:lvl w:ilvl="4" w:tplc="240A0003" w:tentative="1">
      <w:start w:val="1"/>
      <w:numFmt w:val="bullet"/>
      <w:lvlText w:val="o"/>
      <w:lvlJc w:val="left"/>
      <w:pPr>
        <w:ind w:left="5724" w:hanging="360"/>
      </w:pPr>
      <w:rPr>
        <w:rFonts w:ascii="Courier New" w:hAnsi="Courier New" w:cs="Courier New" w:hint="default"/>
      </w:rPr>
    </w:lvl>
    <w:lvl w:ilvl="5" w:tplc="240A0005" w:tentative="1">
      <w:start w:val="1"/>
      <w:numFmt w:val="bullet"/>
      <w:lvlText w:val=""/>
      <w:lvlJc w:val="left"/>
      <w:pPr>
        <w:ind w:left="6444" w:hanging="360"/>
      </w:pPr>
      <w:rPr>
        <w:rFonts w:ascii="Wingdings" w:hAnsi="Wingdings" w:hint="default"/>
      </w:rPr>
    </w:lvl>
    <w:lvl w:ilvl="6" w:tplc="240A0001" w:tentative="1">
      <w:start w:val="1"/>
      <w:numFmt w:val="bullet"/>
      <w:lvlText w:val=""/>
      <w:lvlJc w:val="left"/>
      <w:pPr>
        <w:ind w:left="7164" w:hanging="360"/>
      </w:pPr>
      <w:rPr>
        <w:rFonts w:ascii="Symbol" w:hAnsi="Symbol" w:hint="default"/>
      </w:rPr>
    </w:lvl>
    <w:lvl w:ilvl="7" w:tplc="240A0003" w:tentative="1">
      <w:start w:val="1"/>
      <w:numFmt w:val="bullet"/>
      <w:lvlText w:val="o"/>
      <w:lvlJc w:val="left"/>
      <w:pPr>
        <w:ind w:left="7884" w:hanging="360"/>
      </w:pPr>
      <w:rPr>
        <w:rFonts w:ascii="Courier New" w:hAnsi="Courier New" w:cs="Courier New" w:hint="default"/>
      </w:rPr>
    </w:lvl>
    <w:lvl w:ilvl="8" w:tplc="240A0005" w:tentative="1">
      <w:start w:val="1"/>
      <w:numFmt w:val="bullet"/>
      <w:lvlText w:val=""/>
      <w:lvlJc w:val="left"/>
      <w:pPr>
        <w:ind w:left="8604" w:hanging="360"/>
      </w:pPr>
      <w:rPr>
        <w:rFonts w:ascii="Wingdings" w:hAnsi="Wingdings" w:hint="default"/>
      </w:rPr>
    </w:lvl>
  </w:abstractNum>
  <w:abstractNum w:abstractNumId="6" w15:restartNumberingAfterBreak="0">
    <w:nsid w:val="527800ED"/>
    <w:multiLevelType w:val="hybridMultilevel"/>
    <w:tmpl w:val="4E22D4E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6264056"/>
    <w:multiLevelType w:val="hybridMultilevel"/>
    <w:tmpl w:val="7BDC35BA"/>
    <w:lvl w:ilvl="0" w:tplc="FFFFFFFF">
      <w:start w:val="1"/>
      <w:numFmt w:val="lowerLetter"/>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 w15:restartNumberingAfterBreak="0">
    <w:nsid w:val="63E634D9"/>
    <w:multiLevelType w:val="hybridMultilevel"/>
    <w:tmpl w:val="220EFE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DDD6BFB"/>
    <w:multiLevelType w:val="hybridMultilevel"/>
    <w:tmpl w:val="7BDC35BA"/>
    <w:lvl w:ilvl="0" w:tplc="96F6F7E4">
      <w:start w:val="1"/>
      <w:numFmt w:val="lowerLetter"/>
      <w:lvlText w:val="%1."/>
      <w:lvlJc w:val="left"/>
      <w:pPr>
        <w:ind w:left="142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num w:numId="1" w16cid:durableId="1450589192">
    <w:abstractNumId w:val="4"/>
  </w:num>
  <w:num w:numId="2" w16cid:durableId="2072847249">
    <w:abstractNumId w:val="0"/>
  </w:num>
  <w:num w:numId="3" w16cid:durableId="377166607">
    <w:abstractNumId w:val="9"/>
  </w:num>
  <w:num w:numId="4" w16cid:durableId="1955745250">
    <w:abstractNumId w:val="7"/>
  </w:num>
  <w:num w:numId="5" w16cid:durableId="2091385670">
    <w:abstractNumId w:val="8"/>
  </w:num>
  <w:num w:numId="6" w16cid:durableId="1593278193">
    <w:abstractNumId w:val="5"/>
  </w:num>
  <w:num w:numId="7" w16cid:durableId="1975140048">
    <w:abstractNumId w:val="3"/>
  </w:num>
  <w:num w:numId="8" w16cid:durableId="1610166470">
    <w:abstractNumId w:val="6"/>
  </w:num>
  <w:num w:numId="9" w16cid:durableId="1837501414">
    <w:abstractNumId w:val="1"/>
  </w:num>
  <w:num w:numId="10" w16cid:durableId="11043501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DC0"/>
    <w:rsid w:val="00000ACC"/>
    <w:rsid w:val="000066A1"/>
    <w:rsid w:val="00017247"/>
    <w:rsid w:val="000360E3"/>
    <w:rsid w:val="00046AD2"/>
    <w:rsid w:val="000471F3"/>
    <w:rsid w:val="00050F99"/>
    <w:rsid w:val="00055447"/>
    <w:rsid w:val="000763CE"/>
    <w:rsid w:val="00091723"/>
    <w:rsid w:val="000922B4"/>
    <w:rsid w:val="00096338"/>
    <w:rsid w:val="000A5827"/>
    <w:rsid w:val="000A6739"/>
    <w:rsid w:val="000B2DB2"/>
    <w:rsid w:val="000C6EA6"/>
    <w:rsid w:val="000D2C76"/>
    <w:rsid w:val="000E282D"/>
    <w:rsid w:val="000E5BEF"/>
    <w:rsid w:val="000F6D07"/>
    <w:rsid w:val="000F7902"/>
    <w:rsid w:val="0010208B"/>
    <w:rsid w:val="00104AD2"/>
    <w:rsid w:val="001175EE"/>
    <w:rsid w:val="001341CE"/>
    <w:rsid w:val="001347FE"/>
    <w:rsid w:val="00154B5D"/>
    <w:rsid w:val="0015764B"/>
    <w:rsid w:val="00166516"/>
    <w:rsid w:val="0017050D"/>
    <w:rsid w:val="00181F32"/>
    <w:rsid w:val="001B3A52"/>
    <w:rsid w:val="001D0481"/>
    <w:rsid w:val="001D1F60"/>
    <w:rsid w:val="001D73AF"/>
    <w:rsid w:val="001E2451"/>
    <w:rsid w:val="001F03FE"/>
    <w:rsid w:val="001F3608"/>
    <w:rsid w:val="00200203"/>
    <w:rsid w:val="00217ABE"/>
    <w:rsid w:val="00221611"/>
    <w:rsid w:val="00222106"/>
    <w:rsid w:val="00226873"/>
    <w:rsid w:val="00247F75"/>
    <w:rsid w:val="00272AA2"/>
    <w:rsid w:val="0027604B"/>
    <w:rsid w:val="0028622B"/>
    <w:rsid w:val="002A4879"/>
    <w:rsid w:val="002C7F75"/>
    <w:rsid w:val="002E2EF3"/>
    <w:rsid w:val="002F7908"/>
    <w:rsid w:val="00307131"/>
    <w:rsid w:val="0031061E"/>
    <w:rsid w:val="0032043E"/>
    <w:rsid w:val="00327DDA"/>
    <w:rsid w:val="003367E2"/>
    <w:rsid w:val="00344CF8"/>
    <w:rsid w:val="00347B1A"/>
    <w:rsid w:val="00367984"/>
    <w:rsid w:val="0037694C"/>
    <w:rsid w:val="00381986"/>
    <w:rsid w:val="003B1E97"/>
    <w:rsid w:val="003B1EDD"/>
    <w:rsid w:val="003B43A1"/>
    <w:rsid w:val="003C0896"/>
    <w:rsid w:val="003D09E8"/>
    <w:rsid w:val="003E5D9F"/>
    <w:rsid w:val="003F2799"/>
    <w:rsid w:val="004049D5"/>
    <w:rsid w:val="00424AE5"/>
    <w:rsid w:val="00425CA6"/>
    <w:rsid w:val="00430371"/>
    <w:rsid w:val="00430AD8"/>
    <w:rsid w:val="0047371F"/>
    <w:rsid w:val="00475979"/>
    <w:rsid w:val="00480B1E"/>
    <w:rsid w:val="004866CF"/>
    <w:rsid w:val="004900D6"/>
    <w:rsid w:val="004D5718"/>
    <w:rsid w:val="004E3A5A"/>
    <w:rsid w:val="004F7351"/>
    <w:rsid w:val="00521DAC"/>
    <w:rsid w:val="005255B1"/>
    <w:rsid w:val="0053263C"/>
    <w:rsid w:val="005441AA"/>
    <w:rsid w:val="00550621"/>
    <w:rsid w:val="00551B9A"/>
    <w:rsid w:val="00556034"/>
    <w:rsid w:val="00562E7B"/>
    <w:rsid w:val="00576C99"/>
    <w:rsid w:val="005A0163"/>
    <w:rsid w:val="005B4FAB"/>
    <w:rsid w:val="005C120D"/>
    <w:rsid w:val="005F04A3"/>
    <w:rsid w:val="005F05F1"/>
    <w:rsid w:val="005F2A24"/>
    <w:rsid w:val="006146BF"/>
    <w:rsid w:val="006270C3"/>
    <w:rsid w:val="00636B78"/>
    <w:rsid w:val="00636DC9"/>
    <w:rsid w:val="00652049"/>
    <w:rsid w:val="006576B5"/>
    <w:rsid w:val="00657C6A"/>
    <w:rsid w:val="00657F52"/>
    <w:rsid w:val="006A7C86"/>
    <w:rsid w:val="006A7D86"/>
    <w:rsid w:val="006C3215"/>
    <w:rsid w:val="006D2D73"/>
    <w:rsid w:val="006D67F8"/>
    <w:rsid w:val="006D6C00"/>
    <w:rsid w:val="006D7AC4"/>
    <w:rsid w:val="006F01D9"/>
    <w:rsid w:val="006F294C"/>
    <w:rsid w:val="00742A12"/>
    <w:rsid w:val="007547B0"/>
    <w:rsid w:val="00765D64"/>
    <w:rsid w:val="00794726"/>
    <w:rsid w:val="007A47B0"/>
    <w:rsid w:val="007C03EA"/>
    <w:rsid w:val="007C6F0C"/>
    <w:rsid w:val="007D5141"/>
    <w:rsid w:val="007F6B10"/>
    <w:rsid w:val="007F6F08"/>
    <w:rsid w:val="008228A7"/>
    <w:rsid w:val="0082796F"/>
    <w:rsid w:val="00844141"/>
    <w:rsid w:val="00855869"/>
    <w:rsid w:val="00857AC1"/>
    <w:rsid w:val="00867484"/>
    <w:rsid w:val="00867CC7"/>
    <w:rsid w:val="00875897"/>
    <w:rsid w:val="00886085"/>
    <w:rsid w:val="008A79BE"/>
    <w:rsid w:val="008C0A66"/>
    <w:rsid w:val="008D1291"/>
    <w:rsid w:val="008D2951"/>
    <w:rsid w:val="00905F75"/>
    <w:rsid w:val="0090729E"/>
    <w:rsid w:val="00944965"/>
    <w:rsid w:val="00945343"/>
    <w:rsid w:val="00961131"/>
    <w:rsid w:val="00964F08"/>
    <w:rsid w:val="00967B59"/>
    <w:rsid w:val="009A6CEC"/>
    <w:rsid w:val="00A026A9"/>
    <w:rsid w:val="00A23A16"/>
    <w:rsid w:val="00A257C3"/>
    <w:rsid w:val="00A2678E"/>
    <w:rsid w:val="00A26C17"/>
    <w:rsid w:val="00A30158"/>
    <w:rsid w:val="00A41FBB"/>
    <w:rsid w:val="00A44AC0"/>
    <w:rsid w:val="00A46EB6"/>
    <w:rsid w:val="00A46FC1"/>
    <w:rsid w:val="00A47DBB"/>
    <w:rsid w:val="00A54585"/>
    <w:rsid w:val="00A65018"/>
    <w:rsid w:val="00A76768"/>
    <w:rsid w:val="00AB4CD2"/>
    <w:rsid w:val="00AC3FDA"/>
    <w:rsid w:val="00AD2BC9"/>
    <w:rsid w:val="00B10B56"/>
    <w:rsid w:val="00B120FA"/>
    <w:rsid w:val="00B13839"/>
    <w:rsid w:val="00B53195"/>
    <w:rsid w:val="00B56A9A"/>
    <w:rsid w:val="00B71112"/>
    <w:rsid w:val="00B7219D"/>
    <w:rsid w:val="00B73603"/>
    <w:rsid w:val="00B77A48"/>
    <w:rsid w:val="00B82280"/>
    <w:rsid w:val="00BB6B37"/>
    <w:rsid w:val="00BF64E2"/>
    <w:rsid w:val="00C048EC"/>
    <w:rsid w:val="00C0537D"/>
    <w:rsid w:val="00C14FF0"/>
    <w:rsid w:val="00C151AA"/>
    <w:rsid w:val="00C25A88"/>
    <w:rsid w:val="00C84005"/>
    <w:rsid w:val="00CA449D"/>
    <w:rsid w:val="00CC41CA"/>
    <w:rsid w:val="00CC4821"/>
    <w:rsid w:val="00CD03A0"/>
    <w:rsid w:val="00CD0DC0"/>
    <w:rsid w:val="00CE1178"/>
    <w:rsid w:val="00CF5C9B"/>
    <w:rsid w:val="00D06D66"/>
    <w:rsid w:val="00D44E4D"/>
    <w:rsid w:val="00D61850"/>
    <w:rsid w:val="00D6364A"/>
    <w:rsid w:val="00D65CD3"/>
    <w:rsid w:val="00D67A53"/>
    <w:rsid w:val="00D74523"/>
    <w:rsid w:val="00D824A6"/>
    <w:rsid w:val="00D85713"/>
    <w:rsid w:val="00D961D9"/>
    <w:rsid w:val="00D97DC7"/>
    <w:rsid w:val="00DA0058"/>
    <w:rsid w:val="00DA5658"/>
    <w:rsid w:val="00DA71BD"/>
    <w:rsid w:val="00DB4224"/>
    <w:rsid w:val="00DC24D4"/>
    <w:rsid w:val="00DD481D"/>
    <w:rsid w:val="00DD6794"/>
    <w:rsid w:val="00DF12D6"/>
    <w:rsid w:val="00DF6952"/>
    <w:rsid w:val="00E027DB"/>
    <w:rsid w:val="00E02D69"/>
    <w:rsid w:val="00E310C0"/>
    <w:rsid w:val="00E66AB5"/>
    <w:rsid w:val="00E93A42"/>
    <w:rsid w:val="00E94801"/>
    <w:rsid w:val="00EC2A6E"/>
    <w:rsid w:val="00ED11F2"/>
    <w:rsid w:val="00ED5724"/>
    <w:rsid w:val="00EE123C"/>
    <w:rsid w:val="00EF3F6D"/>
    <w:rsid w:val="00EF3FC9"/>
    <w:rsid w:val="00EF461F"/>
    <w:rsid w:val="00EF4E13"/>
    <w:rsid w:val="00F00617"/>
    <w:rsid w:val="00F10C90"/>
    <w:rsid w:val="00F206EA"/>
    <w:rsid w:val="00F21DE2"/>
    <w:rsid w:val="00F3585D"/>
    <w:rsid w:val="00F80774"/>
    <w:rsid w:val="00F80CBD"/>
    <w:rsid w:val="00F84AD4"/>
    <w:rsid w:val="00F93AA5"/>
    <w:rsid w:val="00F9612C"/>
    <w:rsid w:val="00FA3719"/>
    <w:rsid w:val="00FA704E"/>
    <w:rsid w:val="00FA77E4"/>
    <w:rsid w:val="00FB5EC4"/>
    <w:rsid w:val="00FB681C"/>
    <w:rsid w:val="00FD3381"/>
    <w:rsid w:val="00FD3D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51E7D"/>
  <w15:chartTrackingRefBased/>
  <w15:docId w15:val="{E5EF401E-3635-440D-AC67-3027D6F3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D0D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D0D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D0DC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D0DC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D0DC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D0DC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D0DC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D0DC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D0DC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0DC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D0DC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D0DC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D0DC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D0DC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D0DC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D0DC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D0DC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D0DC0"/>
    <w:rPr>
      <w:rFonts w:eastAsiaTheme="majorEastAsia" w:cstheme="majorBidi"/>
      <w:color w:val="272727" w:themeColor="text1" w:themeTint="D8"/>
    </w:rPr>
  </w:style>
  <w:style w:type="paragraph" w:styleId="Ttulo">
    <w:name w:val="Title"/>
    <w:basedOn w:val="Normal"/>
    <w:next w:val="Normal"/>
    <w:link w:val="TtuloCar"/>
    <w:uiPriority w:val="10"/>
    <w:qFormat/>
    <w:rsid w:val="00CD0D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D0D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D0DC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D0DC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D0DC0"/>
    <w:pPr>
      <w:spacing w:before="160"/>
      <w:jc w:val="center"/>
    </w:pPr>
    <w:rPr>
      <w:i/>
      <w:iCs/>
      <w:color w:val="404040" w:themeColor="text1" w:themeTint="BF"/>
    </w:rPr>
  </w:style>
  <w:style w:type="character" w:customStyle="1" w:styleId="CitaCar">
    <w:name w:val="Cita Car"/>
    <w:basedOn w:val="Fuentedeprrafopredeter"/>
    <w:link w:val="Cita"/>
    <w:uiPriority w:val="29"/>
    <w:rsid w:val="00CD0DC0"/>
    <w:rPr>
      <w:i/>
      <w:iCs/>
      <w:color w:val="404040" w:themeColor="text1" w:themeTint="BF"/>
    </w:rPr>
  </w:style>
  <w:style w:type="paragraph" w:styleId="Prrafodelista">
    <w:name w:val="List Paragraph"/>
    <w:basedOn w:val="Normal"/>
    <w:uiPriority w:val="34"/>
    <w:qFormat/>
    <w:rsid w:val="00CD0DC0"/>
    <w:pPr>
      <w:ind w:left="720"/>
      <w:contextualSpacing/>
    </w:pPr>
  </w:style>
  <w:style w:type="character" w:styleId="nfasisintenso">
    <w:name w:val="Intense Emphasis"/>
    <w:basedOn w:val="Fuentedeprrafopredeter"/>
    <w:uiPriority w:val="21"/>
    <w:qFormat/>
    <w:rsid w:val="00CD0DC0"/>
    <w:rPr>
      <w:i/>
      <w:iCs/>
      <w:color w:val="0F4761" w:themeColor="accent1" w:themeShade="BF"/>
    </w:rPr>
  </w:style>
  <w:style w:type="paragraph" w:styleId="Citadestacada">
    <w:name w:val="Intense Quote"/>
    <w:basedOn w:val="Normal"/>
    <w:next w:val="Normal"/>
    <w:link w:val="CitadestacadaCar"/>
    <w:uiPriority w:val="30"/>
    <w:qFormat/>
    <w:rsid w:val="00CD0D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D0DC0"/>
    <w:rPr>
      <w:i/>
      <w:iCs/>
      <w:color w:val="0F4761" w:themeColor="accent1" w:themeShade="BF"/>
    </w:rPr>
  </w:style>
  <w:style w:type="character" w:styleId="Referenciaintensa">
    <w:name w:val="Intense Reference"/>
    <w:basedOn w:val="Fuentedeprrafopredeter"/>
    <w:uiPriority w:val="32"/>
    <w:qFormat/>
    <w:rsid w:val="00CD0DC0"/>
    <w:rPr>
      <w:b/>
      <w:bCs/>
      <w:smallCaps/>
      <w:color w:val="0F4761" w:themeColor="accent1" w:themeShade="BF"/>
      <w:spacing w:val="5"/>
    </w:rPr>
  </w:style>
  <w:style w:type="character" w:styleId="Textodelmarcadordeposicin">
    <w:name w:val="Placeholder Text"/>
    <w:basedOn w:val="Fuentedeprrafopredeter"/>
    <w:uiPriority w:val="99"/>
    <w:semiHidden/>
    <w:rsid w:val="00C151AA"/>
    <w:rPr>
      <w:color w:val="666666"/>
    </w:rPr>
  </w:style>
  <w:style w:type="character" w:styleId="Refdecomentario">
    <w:name w:val="annotation reference"/>
    <w:basedOn w:val="Fuentedeprrafopredeter"/>
    <w:uiPriority w:val="99"/>
    <w:semiHidden/>
    <w:unhideWhenUsed/>
    <w:rsid w:val="00B56A9A"/>
    <w:rPr>
      <w:sz w:val="16"/>
      <w:szCs w:val="16"/>
    </w:rPr>
  </w:style>
  <w:style w:type="paragraph" w:styleId="Textocomentario">
    <w:name w:val="annotation text"/>
    <w:basedOn w:val="Normal"/>
    <w:link w:val="TextocomentarioCar"/>
    <w:uiPriority w:val="99"/>
    <w:unhideWhenUsed/>
    <w:rsid w:val="00B56A9A"/>
    <w:pPr>
      <w:spacing w:line="240" w:lineRule="auto"/>
    </w:pPr>
    <w:rPr>
      <w:sz w:val="20"/>
      <w:szCs w:val="20"/>
    </w:rPr>
  </w:style>
  <w:style w:type="character" w:customStyle="1" w:styleId="TextocomentarioCar">
    <w:name w:val="Texto comentario Car"/>
    <w:basedOn w:val="Fuentedeprrafopredeter"/>
    <w:link w:val="Textocomentario"/>
    <w:uiPriority w:val="99"/>
    <w:rsid w:val="00B56A9A"/>
    <w:rPr>
      <w:sz w:val="20"/>
      <w:szCs w:val="20"/>
    </w:rPr>
  </w:style>
  <w:style w:type="paragraph" w:styleId="Asuntodelcomentario">
    <w:name w:val="annotation subject"/>
    <w:basedOn w:val="Textocomentario"/>
    <w:next w:val="Textocomentario"/>
    <w:link w:val="AsuntodelcomentarioCar"/>
    <w:uiPriority w:val="99"/>
    <w:semiHidden/>
    <w:unhideWhenUsed/>
    <w:rsid w:val="00B56A9A"/>
    <w:rPr>
      <w:b/>
      <w:bCs/>
    </w:rPr>
  </w:style>
  <w:style w:type="character" w:customStyle="1" w:styleId="AsuntodelcomentarioCar">
    <w:name w:val="Asunto del comentario Car"/>
    <w:basedOn w:val="TextocomentarioCar"/>
    <w:link w:val="Asuntodelcomentario"/>
    <w:uiPriority w:val="99"/>
    <w:semiHidden/>
    <w:rsid w:val="00B56A9A"/>
    <w:rPr>
      <w:b/>
      <w:bCs/>
      <w:sz w:val="20"/>
      <w:szCs w:val="20"/>
    </w:rPr>
  </w:style>
  <w:style w:type="table" w:styleId="Tablaconcuadrcula">
    <w:name w:val="Table Grid"/>
    <w:basedOn w:val="Tablanormal"/>
    <w:uiPriority w:val="39"/>
    <w:rsid w:val="00B53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53195"/>
    <w:pPr>
      <w:spacing w:after="200" w:line="240" w:lineRule="auto"/>
    </w:pPr>
    <w:rPr>
      <w:i/>
      <w:iCs/>
      <w:color w:val="0E2841" w:themeColor="text2"/>
      <w:sz w:val="18"/>
      <w:szCs w:val="18"/>
    </w:rPr>
  </w:style>
  <w:style w:type="paragraph" w:styleId="Revisin">
    <w:name w:val="Revision"/>
    <w:hidden/>
    <w:uiPriority w:val="99"/>
    <w:semiHidden/>
    <w:rsid w:val="005441AA"/>
    <w:pPr>
      <w:spacing w:after="0" w:line="240" w:lineRule="auto"/>
    </w:pPr>
  </w:style>
  <w:style w:type="paragraph" w:styleId="Encabezado">
    <w:name w:val="header"/>
    <w:basedOn w:val="Normal"/>
    <w:link w:val="EncabezadoCar"/>
    <w:uiPriority w:val="99"/>
    <w:unhideWhenUsed/>
    <w:rsid w:val="006D67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D67F8"/>
  </w:style>
  <w:style w:type="paragraph" w:styleId="Piedepgina">
    <w:name w:val="footer"/>
    <w:basedOn w:val="Normal"/>
    <w:link w:val="PiedepginaCar"/>
    <w:uiPriority w:val="99"/>
    <w:unhideWhenUsed/>
    <w:rsid w:val="006D67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6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1721</Words>
  <Characters>9468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Delgado</dc:creator>
  <cp:keywords/>
  <dc:description/>
  <cp:lastModifiedBy>María Alejandra Bermudez R</cp:lastModifiedBy>
  <cp:revision>21</cp:revision>
  <dcterms:created xsi:type="dcterms:W3CDTF">2026-02-17T22:45:00Z</dcterms:created>
  <dcterms:modified xsi:type="dcterms:W3CDTF">2026-04-15T20:01:00Z</dcterms:modified>
</cp:coreProperties>
</file>